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5255A" w14:textId="77777777" w:rsidR="007E13DE" w:rsidRDefault="007E13DE">
      <w:pPr>
        <w:spacing w:after="0"/>
        <w:ind w:left="-1440" w:right="8626"/>
      </w:pPr>
    </w:p>
    <w:tbl>
      <w:tblPr>
        <w:tblStyle w:val="TableGrid"/>
        <w:tblW w:w="10334" w:type="dxa"/>
        <w:tblInd w:w="-690" w:type="dxa"/>
        <w:tblCellMar>
          <w:top w:w="0" w:type="dxa"/>
          <w:left w:w="18" w:type="dxa"/>
          <w:bottom w:w="0" w:type="dxa"/>
          <w:right w:w="1" w:type="dxa"/>
        </w:tblCellMar>
        <w:tblLook w:val="04A0" w:firstRow="1" w:lastRow="0" w:firstColumn="1" w:lastColumn="0" w:noHBand="0" w:noVBand="1"/>
      </w:tblPr>
      <w:tblGrid>
        <w:gridCol w:w="5162"/>
        <w:gridCol w:w="1205"/>
        <w:gridCol w:w="3967"/>
      </w:tblGrid>
      <w:tr w:rsidR="007E13DE" w14:paraId="491ABA48"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3A96DFF6" w14:textId="77777777" w:rsidR="007E13DE" w:rsidRDefault="00000000">
            <w:pPr>
              <w:spacing w:after="0"/>
              <w:ind w:right="3"/>
              <w:jc w:val="center"/>
            </w:pPr>
            <w:r>
              <w:rPr>
                <w:rFonts w:ascii="Times New Roman" w:eastAsia="Times New Roman" w:hAnsi="Times New Roman" w:cs="Times New Roman"/>
                <w:color w:val="0000FF"/>
                <w:sz w:val="11"/>
              </w:rPr>
              <w:t>CONTRIBUIÇÃO REFERENTE À CONSULTA PÚBLICA Nº 023/2024</w:t>
            </w:r>
          </w:p>
        </w:tc>
      </w:tr>
      <w:tr w:rsidR="007E13DE" w14:paraId="5C1B4B60"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16934CC" w14:textId="77777777" w:rsidR="007E13DE" w:rsidRDefault="00000000">
            <w:pPr>
              <w:spacing w:after="0"/>
              <w:ind w:right="16"/>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6FD27E55"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1E2796D7" w14:textId="77777777" w:rsidR="007E13DE" w:rsidRDefault="00000000">
            <w:pPr>
              <w:tabs>
                <w:tab w:val="center" w:pos="727"/>
                <w:tab w:val="center" w:pos="5157"/>
              </w:tabs>
              <w:spacing w:after="0"/>
            </w:pPr>
            <w:r>
              <w:tab/>
            </w:r>
            <w:r>
              <w:rPr>
                <w:noProof/>
              </w:rPr>
              <w:drawing>
                <wp:inline distT="0" distB="0" distL="0" distR="0" wp14:anchorId="13D0C2A8" wp14:editId="4AC86CCA">
                  <wp:extent cx="438912" cy="291084"/>
                  <wp:effectExtent l="0" t="0" r="0" b="0"/>
                  <wp:docPr id="295" name="Pictu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7B5807A6"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794586F9" w14:textId="77777777" w:rsidR="007E13DE" w:rsidRDefault="00000000">
            <w:pPr>
              <w:spacing w:after="0"/>
              <w:ind w:right="5"/>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2309C764"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7B2A5B9E" w14:textId="77777777" w:rsidR="007E13DE" w:rsidRDefault="00000000">
            <w:pPr>
              <w:spacing w:after="0"/>
              <w:ind w:right="14"/>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493BC3EA"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49331F12" w14:textId="77777777" w:rsidR="007E13DE" w:rsidRDefault="00000000">
            <w:pPr>
              <w:spacing w:after="0"/>
              <w:ind w:right="17"/>
              <w:jc w:val="center"/>
            </w:pPr>
            <w:r>
              <w:rPr>
                <w:rFonts w:ascii="Times New Roman" w:eastAsia="Times New Roman" w:hAnsi="Times New Roman" w:cs="Times New Roman"/>
                <w:color w:val="0000FF"/>
                <w:sz w:val="10"/>
              </w:rPr>
              <w:t>CONTRIBUIÇÕES RECEBIDAS</w:t>
            </w:r>
          </w:p>
        </w:tc>
      </w:tr>
      <w:tr w:rsidR="007E13DE" w14:paraId="342EB3C3"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14D7C1B3"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652D00D3" w14:textId="77777777">
        <w:trPr>
          <w:trHeight w:val="209"/>
        </w:trPr>
        <w:tc>
          <w:tcPr>
            <w:tcW w:w="5162" w:type="dxa"/>
            <w:tcBorders>
              <w:top w:val="double" w:sz="5" w:space="0" w:color="000000"/>
              <w:left w:val="single" w:sz="3" w:space="0" w:color="000000"/>
              <w:bottom w:val="single" w:sz="3" w:space="0" w:color="000000"/>
              <w:right w:val="single" w:sz="3" w:space="0" w:color="000000"/>
            </w:tcBorders>
          </w:tcPr>
          <w:p w14:paraId="7EB32178" w14:textId="77777777" w:rsidR="007E13DE" w:rsidRDefault="00000000">
            <w:pPr>
              <w:spacing w:after="0"/>
              <w:ind w:left="5" w:right="1940" w:firstLine="2225"/>
            </w:pPr>
            <w:r>
              <w:rPr>
                <w:rFonts w:ascii="Times New Roman" w:eastAsia="Times New Roman" w:hAnsi="Times New Roman" w:cs="Times New Roman"/>
                <w:color w:val="FFFFFF"/>
                <w:sz w:val="10"/>
              </w:rPr>
              <w:t xml:space="preserve">TEXTO/ANEEL </w:t>
            </w:r>
            <w:r>
              <w:rPr>
                <w:rFonts w:ascii="Times New Roman" w:eastAsia="Times New Roman" w:hAnsi="Times New Roman" w:cs="Times New Roman"/>
                <w:sz w:val="11"/>
              </w:rPr>
              <w:t>NOTA TÉCNICA Nº 71/2024–STD/ANEEL</w:t>
            </w:r>
          </w:p>
        </w:tc>
        <w:tc>
          <w:tcPr>
            <w:tcW w:w="5172" w:type="dxa"/>
            <w:gridSpan w:val="2"/>
            <w:vMerge w:val="restart"/>
            <w:tcBorders>
              <w:top w:val="double" w:sz="5" w:space="0" w:color="000000"/>
              <w:left w:val="single" w:sz="3" w:space="0" w:color="000000"/>
              <w:bottom w:val="single" w:sz="3" w:space="0" w:color="000000"/>
              <w:right w:val="nil"/>
            </w:tcBorders>
          </w:tcPr>
          <w:p w14:paraId="3917EC6F" w14:textId="77777777" w:rsidR="007E13DE" w:rsidRDefault="00000000">
            <w:pPr>
              <w:tabs>
                <w:tab w:val="center" w:pos="585"/>
                <w:tab w:val="center" w:pos="3171"/>
              </w:tabs>
              <w:spacing w:after="49"/>
            </w:pPr>
            <w:r>
              <w:tab/>
            </w:r>
            <w:r>
              <w:rPr>
                <w:rFonts w:ascii="Times New Roman" w:eastAsia="Times New Roman" w:hAnsi="Times New Roman" w:cs="Times New Roman"/>
                <w:color w:val="FFFFFF"/>
                <w:sz w:val="8"/>
              </w:rPr>
              <w:t>TEXTO/INSTITUIÇÃO</w:t>
            </w:r>
            <w:r>
              <w:rPr>
                <w:rFonts w:ascii="Times New Roman" w:eastAsia="Times New Roman" w:hAnsi="Times New Roman" w:cs="Times New Roman"/>
                <w:color w:val="FFFFFF"/>
                <w:sz w:val="8"/>
              </w:rPr>
              <w:tab/>
              <w:t>JUSTIFICATIVA/INSTITUIÇÃO</w:t>
            </w:r>
          </w:p>
          <w:p w14:paraId="65D63145" w14:textId="77777777" w:rsidR="007E13DE" w:rsidRDefault="00000000">
            <w:pPr>
              <w:spacing w:after="0"/>
              <w:ind w:left="1207"/>
            </w:pPr>
            <w:r>
              <w:rPr>
                <w:rFonts w:ascii="Times New Roman" w:eastAsia="Times New Roman" w:hAnsi="Times New Roman" w:cs="Times New Roman"/>
                <w:sz w:val="7"/>
              </w:rPr>
              <w:t xml:space="preserve"> </w:t>
            </w:r>
          </w:p>
        </w:tc>
      </w:tr>
      <w:tr w:rsidR="007E13DE" w14:paraId="1D43A90B"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0A8599EA" w14:textId="77777777" w:rsidR="007E13DE" w:rsidRDefault="00000000">
            <w:pPr>
              <w:spacing w:after="0"/>
              <w:ind w:left="2"/>
            </w:pPr>
            <w:r>
              <w:rPr>
                <w:rFonts w:ascii="Times New Roman" w:eastAsia="Times New Roman" w:hAnsi="Times New Roman" w:cs="Times New Roman"/>
                <w:sz w:val="8"/>
              </w:rPr>
              <w:t>Em 22 de agosto de 2024.</w:t>
            </w:r>
          </w:p>
        </w:tc>
        <w:tc>
          <w:tcPr>
            <w:tcW w:w="0" w:type="auto"/>
            <w:gridSpan w:val="2"/>
            <w:vMerge/>
            <w:tcBorders>
              <w:top w:val="nil"/>
              <w:left w:val="single" w:sz="3" w:space="0" w:color="000000"/>
              <w:bottom w:val="nil"/>
              <w:right w:val="nil"/>
            </w:tcBorders>
          </w:tcPr>
          <w:p w14:paraId="426E51C4" w14:textId="77777777" w:rsidR="007E13DE" w:rsidRDefault="007E13DE"/>
        </w:tc>
      </w:tr>
      <w:tr w:rsidR="007E13DE" w14:paraId="253599ED"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7B8C07F" w14:textId="77777777" w:rsidR="007E13DE" w:rsidRDefault="00000000">
            <w:pPr>
              <w:spacing w:after="0"/>
              <w:ind w:left="2"/>
            </w:pPr>
            <w:r>
              <w:rPr>
                <w:rFonts w:ascii="Times New Roman" w:eastAsia="Times New Roman" w:hAnsi="Times New Roman" w:cs="Times New Roman"/>
                <w:sz w:val="8"/>
              </w:rPr>
              <w:t>Referência: 48500.004063/2022-44</w:t>
            </w:r>
          </w:p>
        </w:tc>
        <w:tc>
          <w:tcPr>
            <w:tcW w:w="0" w:type="auto"/>
            <w:gridSpan w:val="2"/>
            <w:vMerge/>
            <w:tcBorders>
              <w:top w:val="nil"/>
              <w:left w:val="single" w:sz="3" w:space="0" w:color="000000"/>
              <w:bottom w:val="single" w:sz="3" w:space="0" w:color="000000"/>
              <w:right w:val="nil"/>
            </w:tcBorders>
          </w:tcPr>
          <w:p w14:paraId="15BD9624" w14:textId="77777777" w:rsidR="007E13DE" w:rsidRDefault="007E13DE"/>
        </w:tc>
      </w:tr>
      <w:tr w:rsidR="007E13DE" w14:paraId="47066141" w14:textId="77777777">
        <w:trPr>
          <w:trHeight w:val="653"/>
        </w:trPr>
        <w:tc>
          <w:tcPr>
            <w:tcW w:w="5162" w:type="dxa"/>
            <w:tcBorders>
              <w:top w:val="single" w:sz="3" w:space="0" w:color="000000"/>
              <w:left w:val="single" w:sz="3" w:space="0" w:color="000000"/>
              <w:bottom w:val="single" w:sz="3" w:space="0" w:color="000000"/>
              <w:right w:val="single" w:sz="3" w:space="0" w:color="000000"/>
            </w:tcBorders>
            <w:vAlign w:val="center"/>
          </w:tcPr>
          <w:p w14:paraId="145EF171" w14:textId="77777777" w:rsidR="007E13DE" w:rsidRDefault="00000000">
            <w:pPr>
              <w:spacing w:after="0"/>
              <w:ind w:left="2"/>
              <w:jc w:val="both"/>
            </w:pPr>
            <w:r>
              <w:rPr>
                <w:rFonts w:ascii="Times New Roman" w:eastAsia="Times New Roman" w:hAnsi="Times New Roman" w:cs="Times New Roman"/>
                <w:sz w:val="8"/>
              </w:rPr>
              <w:t>Assunto: Proposta de abertura de Consulta Pública com vistas ao tratamento regulatório associado às requisições de acesso à Rede Básica por unidades consumidoras.</w:t>
            </w:r>
          </w:p>
        </w:tc>
        <w:tc>
          <w:tcPr>
            <w:tcW w:w="1205" w:type="dxa"/>
            <w:tcBorders>
              <w:top w:val="single" w:sz="3" w:space="0" w:color="000000"/>
              <w:left w:val="single" w:sz="3" w:space="0" w:color="000000"/>
              <w:bottom w:val="single" w:sz="3" w:space="0" w:color="000000"/>
              <w:right w:val="single" w:sz="3" w:space="0" w:color="000000"/>
            </w:tcBorders>
            <w:vAlign w:val="center"/>
          </w:tcPr>
          <w:p w14:paraId="19613573"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414C3580" w14:textId="77777777" w:rsidR="007E13DE" w:rsidRDefault="00000000">
            <w:pPr>
              <w:spacing w:after="11"/>
              <w:ind w:left="2"/>
            </w:pPr>
            <w:r>
              <w:rPr>
                <w:rFonts w:ascii="Times New Roman" w:eastAsia="Times New Roman" w:hAnsi="Times New Roman" w:cs="Times New Roman"/>
                <w:sz w:val="8"/>
              </w:rPr>
              <w:t xml:space="preserve">A regulação deve levar em conta os efeitos que ocorrem no sistema fruto da expansão acelerada de fontes </w:t>
            </w:r>
          </w:p>
          <w:p w14:paraId="23AD363C" w14:textId="69767975" w:rsidR="007E13DE" w:rsidRDefault="00000000">
            <w:pPr>
              <w:spacing w:after="0"/>
              <w:ind w:left="2" w:right="5"/>
            </w:pPr>
            <w:r>
              <w:rPr>
                <w:rFonts w:ascii="Times New Roman" w:eastAsia="Times New Roman" w:hAnsi="Times New Roman" w:cs="Times New Roman"/>
                <w:sz w:val="8"/>
              </w:rPr>
              <w:t xml:space="preserve">Solar e Eólica para o mercado livre - ACL. Muitos investimentos em transmissão fruto dos leilões de 2023 e 2024 </w:t>
            </w:r>
            <w:r w:rsidR="00DB62DA">
              <w:rPr>
                <w:rFonts w:ascii="Times New Roman" w:eastAsia="Times New Roman" w:hAnsi="Times New Roman" w:cs="Times New Roman"/>
                <w:sz w:val="8"/>
              </w:rPr>
              <w:t xml:space="preserve">e </w:t>
            </w:r>
            <w:r>
              <w:rPr>
                <w:rFonts w:ascii="Times New Roman" w:eastAsia="Times New Roman" w:hAnsi="Times New Roman" w:cs="Times New Roman"/>
                <w:sz w:val="8"/>
              </w:rPr>
              <w:t>estão sendo executados para atender a essa expansão e são transferidos ao mercado regulado - ACR, que além dos valores que não deu causa devem suportar subsídios de 50% da TUSD. Alterar regras de acesso à Rede Básica é medida adequada. após a realização desses leilões para o ACR.</w:t>
            </w:r>
          </w:p>
        </w:tc>
      </w:tr>
      <w:tr w:rsidR="007E13DE" w14:paraId="5D78A8A1"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ACDE310" w14:textId="77777777" w:rsidR="007E13DE" w:rsidRDefault="00000000">
            <w:pPr>
              <w:spacing w:after="0"/>
              <w:ind w:left="5"/>
            </w:pPr>
            <w:r>
              <w:rPr>
                <w:rFonts w:ascii="Times New Roman" w:eastAsia="Times New Roman" w:hAnsi="Times New Roman" w:cs="Times New Roman"/>
                <w:sz w:val="11"/>
              </w:rPr>
              <w:t>I - DO OBJETIVO</w:t>
            </w:r>
          </w:p>
        </w:tc>
        <w:tc>
          <w:tcPr>
            <w:tcW w:w="5172" w:type="dxa"/>
            <w:gridSpan w:val="2"/>
            <w:vMerge w:val="restart"/>
            <w:tcBorders>
              <w:top w:val="single" w:sz="3" w:space="0" w:color="000000"/>
              <w:left w:val="single" w:sz="3" w:space="0" w:color="000000"/>
              <w:bottom w:val="single" w:sz="3" w:space="0" w:color="000000"/>
              <w:right w:val="nil"/>
            </w:tcBorders>
          </w:tcPr>
          <w:p w14:paraId="278CBE99" w14:textId="77777777" w:rsidR="007E13DE" w:rsidRDefault="007E13DE"/>
        </w:tc>
      </w:tr>
      <w:tr w:rsidR="007E13DE" w14:paraId="16ABCB4E"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8EA1967" w14:textId="77777777" w:rsidR="007E13DE" w:rsidRDefault="00000000">
            <w:pPr>
              <w:spacing w:after="0"/>
              <w:ind w:left="2"/>
            </w:pPr>
            <w:r>
              <w:rPr>
                <w:rFonts w:ascii="Times New Roman" w:eastAsia="Times New Roman" w:hAnsi="Times New Roman" w:cs="Times New Roman"/>
                <w:sz w:val="8"/>
              </w:rPr>
              <w:t>1. Esta Nota Técnica tem por objetivo propor a abertura de Consulta Pública com vistas ao tratamento regulatório associado às requisições de acesso à Rede Básica por unidades consumidoras.</w:t>
            </w:r>
          </w:p>
        </w:tc>
        <w:tc>
          <w:tcPr>
            <w:tcW w:w="0" w:type="auto"/>
            <w:gridSpan w:val="2"/>
            <w:vMerge/>
            <w:tcBorders>
              <w:top w:val="nil"/>
              <w:left w:val="single" w:sz="3" w:space="0" w:color="000000"/>
              <w:bottom w:val="nil"/>
              <w:right w:val="nil"/>
            </w:tcBorders>
          </w:tcPr>
          <w:p w14:paraId="47DD7A5B" w14:textId="77777777" w:rsidR="007E13DE" w:rsidRDefault="007E13DE"/>
        </w:tc>
      </w:tr>
      <w:tr w:rsidR="007E13DE" w14:paraId="326EEC5C"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7A3256F" w14:textId="77777777" w:rsidR="007E13DE" w:rsidRDefault="00000000">
            <w:pPr>
              <w:spacing w:after="0"/>
              <w:ind w:left="5"/>
            </w:pPr>
            <w:r>
              <w:rPr>
                <w:rFonts w:ascii="Times New Roman" w:eastAsia="Times New Roman" w:hAnsi="Times New Roman" w:cs="Times New Roman"/>
                <w:sz w:val="11"/>
              </w:rPr>
              <w:t>II - DOS FATOS</w:t>
            </w:r>
          </w:p>
        </w:tc>
        <w:tc>
          <w:tcPr>
            <w:tcW w:w="0" w:type="auto"/>
            <w:gridSpan w:val="2"/>
            <w:vMerge/>
            <w:tcBorders>
              <w:top w:val="nil"/>
              <w:left w:val="single" w:sz="3" w:space="0" w:color="000000"/>
              <w:bottom w:val="nil"/>
              <w:right w:val="nil"/>
            </w:tcBorders>
          </w:tcPr>
          <w:p w14:paraId="28DFF2B6" w14:textId="77777777" w:rsidR="007E13DE" w:rsidRDefault="007E13DE"/>
        </w:tc>
      </w:tr>
      <w:tr w:rsidR="007E13DE" w14:paraId="2C4F154B"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646E60C2" w14:textId="77777777" w:rsidR="007E13DE" w:rsidRDefault="00000000">
            <w:pPr>
              <w:spacing w:after="0"/>
              <w:ind w:left="2" w:right="8"/>
            </w:pPr>
            <w:r>
              <w:rPr>
                <w:rFonts w:ascii="Times New Roman" w:eastAsia="Times New Roman" w:hAnsi="Times New Roman" w:cs="Times New Roman"/>
                <w:sz w:val="8"/>
              </w:rPr>
              <w:t>2. Com base na Nota Técnica nº 75/2022-SRT-SRG-SCG-SFG/ANEEL (48552.000917/2022-00) e no Relatório de Análise de Impacto Regulatório nº 2/2022-SRT-SRG-SCG-SFG/ANEEL (48552.000918/2022-00), ambos de 19 de setembro de 2022, foi aberta a primeira fase da Consulta Pública nº 52/2022, com período de contribuições entre 7 de novembro de 2022 e 6 de janeiro de 2023, com o objetivo de obter subsídios a respeito da Análise de Impacto Regulatório acerca do acesso à transmissão no cenário de expansão de geradores eólicos e fotovoltaicos.</w:t>
            </w:r>
          </w:p>
        </w:tc>
        <w:tc>
          <w:tcPr>
            <w:tcW w:w="0" w:type="auto"/>
            <w:gridSpan w:val="2"/>
            <w:vMerge/>
            <w:tcBorders>
              <w:top w:val="nil"/>
              <w:left w:val="single" w:sz="3" w:space="0" w:color="000000"/>
              <w:bottom w:val="nil"/>
              <w:right w:val="nil"/>
            </w:tcBorders>
          </w:tcPr>
          <w:p w14:paraId="7982DC6C" w14:textId="77777777" w:rsidR="007E13DE" w:rsidRDefault="007E13DE"/>
        </w:tc>
      </w:tr>
      <w:tr w:rsidR="007E13DE" w14:paraId="66BE04BB"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70F0B409" w14:textId="77777777" w:rsidR="007E13DE" w:rsidRDefault="00000000">
            <w:pPr>
              <w:spacing w:after="11"/>
              <w:ind w:left="2"/>
              <w:jc w:val="both"/>
            </w:pPr>
            <w:r>
              <w:rPr>
                <w:rFonts w:ascii="Times New Roman" w:eastAsia="Times New Roman" w:hAnsi="Times New Roman" w:cs="Times New Roman"/>
                <w:sz w:val="8"/>
              </w:rPr>
              <w:t xml:space="preserve">3. Com base na Nota Técnica nº 29/2023-SRT-SRG-SCG-SFG/ANEEL (48552.000309/2023-00) e no Relatório de Análise de Impacto Regulatório nº </w:t>
            </w:r>
          </w:p>
          <w:p w14:paraId="5D37BCA5" w14:textId="77777777" w:rsidR="007E13DE" w:rsidRDefault="00000000">
            <w:pPr>
              <w:spacing w:after="11"/>
              <w:ind w:left="2"/>
            </w:pPr>
            <w:r>
              <w:rPr>
                <w:rFonts w:ascii="Times New Roman" w:eastAsia="Times New Roman" w:hAnsi="Times New Roman" w:cs="Times New Roman"/>
                <w:sz w:val="8"/>
              </w:rPr>
              <w:t xml:space="preserve">2/2023-SRT-SRG-SCG-SFG/ANEEL (Cadastrado sob o número 48552.000310/2023-00, se tratando de atualização do Relatório de Análise de </w:t>
            </w:r>
          </w:p>
          <w:p w14:paraId="3E4CFE0D" w14:textId="77777777" w:rsidR="007E13DE" w:rsidRDefault="00000000">
            <w:pPr>
              <w:spacing w:after="0"/>
              <w:ind w:left="2" w:right="6"/>
            </w:pPr>
            <w:r>
              <w:rPr>
                <w:rFonts w:ascii="Times New Roman" w:eastAsia="Times New Roman" w:hAnsi="Times New Roman" w:cs="Times New Roman"/>
                <w:sz w:val="8"/>
              </w:rPr>
              <w:t>Impacto Regulatório no 2/2022-SRT-SRG-SCG-SFG/ANEEL), ambos de 24 de abril de 2023, foi aberta a segunda fase da Consulta Pública nº 52/2022, com período de contribuições entre 28 de abril de 2023 e 27 de junho de 2023, com o objetivo de obter subsídios a respeito da Análise de Impacto Regulatório acerca do acesso à transmissão no cenário de expansão de geradores eólicos e fotovoltaicos.</w:t>
            </w:r>
          </w:p>
        </w:tc>
        <w:tc>
          <w:tcPr>
            <w:tcW w:w="0" w:type="auto"/>
            <w:gridSpan w:val="2"/>
            <w:vMerge/>
            <w:tcBorders>
              <w:top w:val="nil"/>
              <w:left w:val="single" w:sz="3" w:space="0" w:color="000000"/>
              <w:bottom w:val="nil"/>
              <w:right w:val="nil"/>
            </w:tcBorders>
          </w:tcPr>
          <w:p w14:paraId="2ABB1915" w14:textId="77777777" w:rsidR="007E13DE" w:rsidRDefault="007E13DE"/>
        </w:tc>
      </w:tr>
      <w:tr w:rsidR="007E13DE" w14:paraId="222F975D"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22C86C6D" w14:textId="77777777" w:rsidR="007E13DE" w:rsidRDefault="00000000">
            <w:pPr>
              <w:spacing w:after="0"/>
              <w:ind w:left="2"/>
            </w:pPr>
            <w:r>
              <w:rPr>
                <w:rFonts w:ascii="Times New Roman" w:eastAsia="Times New Roman" w:hAnsi="Times New Roman" w:cs="Times New Roman"/>
                <w:sz w:val="8"/>
              </w:rPr>
              <w:t>4. Em decorrência da deliberação da diretoria da ANEEL, que aprovou a abertura da segunda fase da Consulta Pública no 52/2022, e devido à urgência da necessidade de aprimoramento dos mecanismos de garantia dos Contratos de Uso do Sistema de Transmissão – CUST, foi emitido o Despacho nº 1.133, de 25 de abril de 2023, que autorizou o Operador Nacional do Sistema Elétrico – ONS a realizar consulta externa a respeito das propostas de alteração dos Procedimentos de Rede relacionados ao aprimoramento dos mecanismos de garantia dos CUST, com posterior remissão destas propostas para a ANEEL.</w:t>
            </w:r>
          </w:p>
        </w:tc>
        <w:tc>
          <w:tcPr>
            <w:tcW w:w="0" w:type="auto"/>
            <w:gridSpan w:val="2"/>
            <w:vMerge/>
            <w:tcBorders>
              <w:top w:val="nil"/>
              <w:left w:val="single" w:sz="3" w:space="0" w:color="000000"/>
              <w:bottom w:val="nil"/>
              <w:right w:val="nil"/>
            </w:tcBorders>
          </w:tcPr>
          <w:p w14:paraId="7DF45A0D" w14:textId="77777777" w:rsidR="007E13DE" w:rsidRDefault="007E13DE"/>
        </w:tc>
      </w:tr>
      <w:tr w:rsidR="007E13DE" w14:paraId="4CE3BB4F"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6CEA155" w14:textId="77777777" w:rsidR="007E13DE" w:rsidRDefault="00000000">
            <w:pPr>
              <w:spacing w:after="0"/>
              <w:ind w:left="2"/>
            </w:pPr>
            <w:r>
              <w:rPr>
                <w:rFonts w:ascii="Times New Roman" w:eastAsia="Times New Roman" w:hAnsi="Times New Roman" w:cs="Times New Roman"/>
                <w:sz w:val="8"/>
              </w:rPr>
              <w:t>5. Após receber do ONS as propostas de alteração nos Procedimentos de Rede relacionados ao aprimoramento dos mecanismos de garantia dos CUST, a ANEEL abriu a Tomada de Subsídios nº 11/2023, com período de contribuições entre 7 de julho de 2023 e 26 de julho de 2023, objetivando obter subsídios para o citado aprimoramento.</w:t>
            </w:r>
          </w:p>
        </w:tc>
        <w:tc>
          <w:tcPr>
            <w:tcW w:w="0" w:type="auto"/>
            <w:gridSpan w:val="2"/>
            <w:vMerge/>
            <w:tcBorders>
              <w:top w:val="nil"/>
              <w:left w:val="single" w:sz="3" w:space="0" w:color="000000"/>
              <w:bottom w:val="nil"/>
              <w:right w:val="nil"/>
            </w:tcBorders>
          </w:tcPr>
          <w:p w14:paraId="100FE57E" w14:textId="77777777" w:rsidR="007E13DE" w:rsidRDefault="007E13DE"/>
        </w:tc>
      </w:tr>
      <w:tr w:rsidR="007E13DE" w14:paraId="06FF55EB"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5795A9CD" w14:textId="77777777" w:rsidR="007E13DE" w:rsidRDefault="00000000">
            <w:pPr>
              <w:spacing w:after="11"/>
              <w:ind w:left="2"/>
            </w:pPr>
            <w:r>
              <w:rPr>
                <w:rFonts w:ascii="Times New Roman" w:eastAsia="Times New Roman" w:hAnsi="Times New Roman" w:cs="Times New Roman"/>
                <w:sz w:val="8"/>
              </w:rPr>
              <w:t xml:space="preserve">6. Com base na Nota Técnica nº 71/2023-STD-SCE-SGM/ANEEL (48552.001774/2023-00) e no Relatório de Análise de Impacto Regulatório nº </w:t>
            </w:r>
          </w:p>
          <w:p w14:paraId="23A01117" w14:textId="77777777" w:rsidR="007E13DE" w:rsidRDefault="00000000">
            <w:pPr>
              <w:spacing w:after="11"/>
              <w:ind w:left="2"/>
            </w:pPr>
            <w:r>
              <w:rPr>
                <w:rFonts w:ascii="Times New Roman" w:eastAsia="Times New Roman" w:hAnsi="Times New Roman" w:cs="Times New Roman"/>
                <w:sz w:val="8"/>
              </w:rPr>
              <w:t xml:space="preserve">1/2023-STD-SCE-SGM/ANEEL (Cadastrado sob o número 48552.001775/2023-00, se tratando de atualização do Relatório de Análise de Impacto </w:t>
            </w:r>
          </w:p>
          <w:p w14:paraId="4EBC5D3F" w14:textId="77777777" w:rsidR="007E13DE" w:rsidRDefault="00000000">
            <w:pPr>
              <w:spacing w:after="0"/>
              <w:ind w:left="2"/>
            </w:pPr>
            <w:r>
              <w:rPr>
                <w:rFonts w:ascii="Times New Roman" w:eastAsia="Times New Roman" w:hAnsi="Times New Roman" w:cs="Times New Roman"/>
                <w:sz w:val="8"/>
              </w:rPr>
              <w:t>Regulatório nº 2/2022-SRT-SRG-SCG-SFG/ANEEL), ambos de 28 de agosto de 2023, foi aprovada e publicada a Resolução Normativa nº 1.069, de 29 de agosto de 2023 (REN 1069/2023), que aprovou a revisão do Módulo 5 das Regras dos Serviços de Transmissão de Energia Elétrica e alterou as Resoluções Normativas nº 875, de 16 de março de 2020, e no 876, de 13 de março de 2020.</w:t>
            </w:r>
          </w:p>
        </w:tc>
        <w:tc>
          <w:tcPr>
            <w:tcW w:w="0" w:type="auto"/>
            <w:gridSpan w:val="2"/>
            <w:vMerge/>
            <w:tcBorders>
              <w:top w:val="nil"/>
              <w:left w:val="single" w:sz="3" w:space="0" w:color="000000"/>
              <w:bottom w:val="nil"/>
              <w:right w:val="nil"/>
            </w:tcBorders>
          </w:tcPr>
          <w:p w14:paraId="2B521513" w14:textId="77777777" w:rsidR="007E13DE" w:rsidRDefault="007E13DE"/>
        </w:tc>
      </w:tr>
      <w:tr w:rsidR="007E13DE" w14:paraId="3FD56431"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C8FCDF3" w14:textId="77777777" w:rsidR="007E13DE" w:rsidRDefault="00000000">
            <w:pPr>
              <w:spacing w:after="0"/>
              <w:ind w:left="2"/>
            </w:pPr>
            <w:r>
              <w:rPr>
                <w:rFonts w:ascii="Times New Roman" w:eastAsia="Times New Roman" w:hAnsi="Times New Roman" w:cs="Times New Roman"/>
                <w:sz w:val="8"/>
              </w:rPr>
              <w:t>7. Em 4 de setembro de 2023, foi publicado o Despacho nº 3.245, de 1o de setembro de 2023 (DSP 3245/2023), que aprovou o aprimoramento dos mecanismos de garantia dos CUST por meio de alterações nos Procedimentos de Rede.</w:t>
            </w:r>
          </w:p>
        </w:tc>
        <w:tc>
          <w:tcPr>
            <w:tcW w:w="0" w:type="auto"/>
            <w:gridSpan w:val="2"/>
            <w:vMerge/>
            <w:tcBorders>
              <w:top w:val="nil"/>
              <w:left w:val="single" w:sz="3" w:space="0" w:color="000000"/>
              <w:bottom w:val="nil"/>
              <w:right w:val="nil"/>
            </w:tcBorders>
          </w:tcPr>
          <w:p w14:paraId="03DC91E3" w14:textId="77777777" w:rsidR="007E13DE" w:rsidRDefault="007E13DE"/>
        </w:tc>
      </w:tr>
      <w:tr w:rsidR="007E13DE" w14:paraId="29DC5A5B"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78718483" w14:textId="77777777" w:rsidR="007E13DE" w:rsidRDefault="00000000">
            <w:pPr>
              <w:spacing w:after="0"/>
              <w:ind w:left="2"/>
            </w:pPr>
            <w:r>
              <w:rPr>
                <w:rFonts w:ascii="Times New Roman" w:eastAsia="Times New Roman" w:hAnsi="Times New Roman" w:cs="Times New Roman"/>
                <w:sz w:val="8"/>
              </w:rPr>
              <w:t>8. Com base na Nota Técnica nº 11/2024-STD/ANEEL, de 8 de fevereiro de 2024 (48552.001243/2024-00), foi aberta a Tomada de Subsídios nº 3/2024, com período de contribuições entre 14 de fevereiro de 2024 e 14 de março de 2024, com o objetivo de obter subsídios para o aprimoramento dos Procedimentos de Rede decorrentes das alterações normativas estabelecidas pela REN 1069/2023.</w:t>
            </w:r>
          </w:p>
        </w:tc>
        <w:tc>
          <w:tcPr>
            <w:tcW w:w="0" w:type="auto"/>
            <w:gridSpan w:val="2"/>
            <w:vMerge/>
            <w:tcBorders>
              <w:top w:val="nil"/>
              <w:left w:val="single" w:sz="3" w:space="0" w:color="000000"/>
              <w:bottom w:val="nil"/>
              <w:right w:val="nil"/>
            </w:tcBorders>
          </w:tcPr>
          <w:p w14:paraId="35F59831" w14:textId="77777777" w:rsidR="007E13DE" w:rsidRDefault="007E13DE"/>
        </w:tc>
      </w:tr>
      <w:tr w:rsidR="007E13DE" w14:paraId="7B5F8270"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58324A3" w14:textId="77777777" w:rsidR="007E13DE" w:rsidRDefault="00000000">
            <w:pPr>
              <w:spacing w:after="0"/>
              <w:ind w:left="2"/>
            </w:pPr>
            <w:r>
              <w:rPr>
                <w:rFonts w:ascii="Times New Roman" w:eastAsia="Times New Roman" w:hAnsi="Times New Roman" w:cs="Times New Roman"/>
                <w:sz w:val="8"/>
              </w:rPr>
              <w:t>9. Em 17 de junho de 2024, foi publicado o Despacho nº 1.788, de 14 de junho de 2024 (DSP 1788/2024), que aprovou alterações nos Procedimentos de Rede, necessárias para a sua compatibilização com o novo regramento trazido pela REN 1069/2023.</w:t>
            </w:r>
          </w:p>
        </w:tc>
        <w:tc>
          <w:tcPr>
            <w:tcW w:w="0" w:type="auto"/>
            <w:gridSpan w:val="2"/>
            <w:vMerge/>
            <w:tcBorders>
              <w:top w:val="nil"/>
              <w:left w:val="single" w:sz="3" w:space="0" w:color="000000"/>
              <w:bottom w:val="nil"/>
              <w:right w:val="nil"/>
            </w:tcBorders>
          </w:tcPr>
          <w:p w14:paraId="132130F2" w14:textId="77777777" w:rsidR="007E13DE" w:rsidRDefault="007E13DE"/>
        </w:tc>
      </w:tr>
      <w:tr w:rsidR="007E13DE" w14:paraId="55DC599F"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A1BEA51" w14:textId="77777777" w:rsidR="007E13DE" w:rsidRDefault="00000000">
            <w:pPr>
              <w:spacing w:after="0"/>
              <w:ind w:left="2"/>
            </w:pPr>
            <w:r>
              <w:rPr>
                <w:rFonts w:ascii="Times New Roman" w:eastAsia="Times New Roman" w:hAnsi="Times New Roman" w:cs="Times New Roman"/>
                <w:sz w:val="8"/>
              </w:rPr>
              <w:t>10. Entre 30 de outubro de 2023 e 12 de abril de 2024, a ANEEL recebeu do Ministério de Minas e Energia (MME) diversos Ofícios comunicando acerca de solicitações de Portaria ao MME por unidades consumidoras que desejam se conectar à Rede Básica, cujos números de cadastro na ANEEL são:</w:t>
            </w:r>
          </w:p>
        </w:tc>
        <w:tc>
          <w:tcPr>
            <w:tcW w:w="0" w:type="auto"/>
            <w:gridSpan w:val="2"/>
            <w:vMerge/>
            <w:tcBorders>
              <w:top w:val="nil"/>
              <w:left w:val="single" w:sz="3" w:space="0" w:color="000000"/>
              <w:bottom w:val="nil"/>
              <w:right w:val="nil"/>
            </w:tcBorders>
          </w:tcPr>
          <w:p w14:paraId="3BF8E0FF" w14:textId="77777777" w:rsidR="007E13DE" w:rsidRDefault="007E13DE"/>
        </w:tc>
      </w:tr>
      <w:tr w:rsidR="007E13DE" w14:paraId="412CAC38"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01671171" w14:textId="77777777" w:rsidR="007E13DE" w:rsidRDefault="00000000">
            <w:pPr>
              <w:spacing w:after="11"/>
              <w:ind w:left="370"/>
            </w:pPr>
            <w:r>
              <w:rPr>
                <w:rFonts w:ascii="Times New Roman" w:eastAsia="Times New Roman" w:hAnsi="Times New Roman" w:cs="Times New Roman"/>
                <w:sz w:val="8"/>
              </w:rPr>
              <w:t xml:space="preserve">48513.025388/2023-00, 48513.001460/2024-00, 48513.001574/2024-00, 48513.003818/2024-00, 48513.003840/2024-00, </w:t>
            </w:r>
          </w:p>
          <w:p w14:paraId="6A14C602" w14:textId="77777777" w:rsidR="007E13DE" w:rsidRDefault="00000000">
            <w:pPr>
              <w:spacing w:after="0"/>
              <w:ind w:left="370"/>
            </w:pPr>
            <w:r>
              <w:rPr>
                <w:rFonts w:ascii="Times New Roman" w:eastAsia="Times New Roman" w:hAnsi="Times New Roman" w:cs="Times New Roman"/>
                <w:sz w:val="8"/>
              </w:rPr>
              <w:t>48513.003895/2024-00, 48513.003922/2024-00, 48513.004502/2024-00, 48513.006909/2024-00, 48513.006916/2024-00, 48513.006917/2024-00, 48513.008317/2024-00, 48513.008606/2024-00 e 48513.009047/2024-00.</w:t>
            </w:r>
          </w:p>
        </w:tc>
        <w:tc>
          <w:tcPr>
            <w:tcW w:w="0" w:type="auto"/>
            <w:gridSpan w:val="2"/>
            <w:vMerge/>
            <w:tcBorders>
              <w:top w:val="nil"/>
              <w:left w:val="single" w:sz="3" w:space="0" w:color="000000"/>
              <w:bottom w:val="nil"/>
              <w:right w:val="nil"/>
            </w:tcBorders>
          </w:tcPr>
          <w:p w14:paraId="39FD3024" w14:textId="77777777" w:rsidR="007E13DE" w:rsidRDefault="007E13DE"/>
        </w:tc>
      </w:tr>
      <w:tr w:rsidR="007E13DE" w14:paraId="3DA9F6E4"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69D7C3B2" w14:textId="77777777" w:rsidR="007E13DE" w:rsidRDefault="00000000">
            <w:pPr>
              <w:spacing w:after="0"/>
              <w:ind w:left="2"/>
            </w:pPr>
            <w:r>
              <w:rPr>
                <w:rFonts w:ascii="Times New Roman" w:eastAsia="Times New Roman" w:hAnsi="Times New Roman" w:cs="Times New Roman"/>
                <w:sz w:val="8"/>
              </w:rPr>
              <w:t>11. Ao verificar que a potência e a quantidade das unidades consumidoras que estão pretendendo se conectar à Rede Básica estão muito acima do habitual, a ANEEL solicitou ao MME, por meio do Ofício nº 135/2024-STD/ANEEL, de 10 de abril de 2024 (48552.001906/2024-00), que disponibilizasse dados detalhados referentes aos pedidos de emissão de Portaria submetidos por unidades consumidoras que desejam se conectar à Rede Básica.</w:t>
            </w:r>
          </w:p>
        </w:tc>
        <w:tc>
          <w:tcPr>
            <w:tcW w:w="0" w:type="auto"/>
            <w:gridSpan w:val="2"/>
            <w:vMerge/>
            <w:tcBorders>
              <w:top w:val="nil"/>
              <w:left w:val="single" w:sz="3" w:space="0" w:color="000000"/>
              <w:bottom w:val="nil"/>
              <w:right w:val="nil"/>
            </w:tcBorders>
          </w:tcPr>
          <w:p w14:paraId="157B7E53" w14:textId="77777777" w:rsidR="007E13DE" w:rsidRDefault="007E13DE"/>
        </w:tc>
      </w:tr>
      <w:tr w:rsidR="007E13DE" w14:paraId="2C7B07A3"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C716045" w14:textId="77777777" w:rsidR="007E13DE" w:rsidRDefault="00000000">
            <w:pPr>
              <w:spacing w:after="0"/>
              <w:ind w:left="2"/>
            </w:pPr>
            <w:r>
              <w:rPr>
                <w:rFonts w:ascii="Times New Roman" w:eastAsia="Times New Roman" w:hAnsi="Times New Roman" w:cs="Times New Roman"/>
                <w:sz w:val="8"/>
              </w:rPr>
              <w:t>12. Em resposta, o MME enviou o Ofício nº 86/2024/DPOTI/SNTEP-MME, de 9 de maio de 2024 (48552.001906/2024-00), com os dados detalhados referentes aos pedidos de emissão de Portaria submetidos por unidades consumidoras que desejam se conectar à Rede Básica.</w:t>
            </w:r>
          </w:p>
        </w:tc>
        <w:tc>
          <w:tcPr>
            <w:tcW w:w="0" w:type="auto"/>
            <w:gridSpan w:val="2"/>
            <w:vMerge/>
            <w:tcBorders>
              <w:top w:val="nil"/>
              <w:left w:val="single" w:sz="3" w:space="0" w:color="000000"/>
              <w:bottom w:val="nil"/>
              <w:right w:val="nil"/>
            </w:tcBorders>
          </w:tcPr>
          <w:p w14:paraId="64870FEE" w14:textId="77777777" w:rsidR="007E13DE" w:rsidRDefault="007E13DE"/>
        </w:tc>
      </w:tr>
      <w:tr w:rsidR="007E13DE" w14:paraId="053B8450"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06E0BA75" w14:textId="77777777" w:rsidR="007E13DE" w:rsidRDefault="00000000">
            <w:pPr>
              <w:spacing w:after="0"/>
              <w:ind w:left="2"/>
            </w:pPr>
            <w:r>
              <w:rPr>
                <w:rFonts w:ascii="Times New Roman" w:eastAsia="Times New Roman" w:hAnsi="Times New Roman" w:cs="Times New Roman"/>
                <w:sz w:val="8"/>
              </w:rPr>
              <w:t>13. Em 27 de maio de 2024, a ANEEL recebeu do MME o Ofício nº 99/2024/DPOTI/SNTEP-MME, de 24 de maio de 2024 (48513.014141/2024-00), informando acerca de mais uma solicitação de Portaria ao MME por unidade consumidora que deseja se conectar à Rede Básica, cuja potência deve chegar a 15 GW.</w:t>
            </w:r>
          </w:p>
        </w:tc>
        <w:tc>
          <w:tcPr>
            <w:tcW w:w="0" w:type="auto"/>
            <w:gridSpan w:val="2"/>
            <w:vMerge/>
            <w:tcBorders>
              <w:top w:val="nil"/>
              <w:left w:val="single" w:sz="3" w:space="0" w:color="000000"/>
              <w:bottom w:val="nil"/>
              <w:right w:val="nil"/>
            </w:tcBorders>
          </w:tcPr>
          <w:p w14:paraId="765DBD7E" w14:textId="77777777" w:rsidR="007E13DE" w:rsidRDefault="007E13DE"/>
        </w:tc>
      </w:tr>
      <w:tr w:rsidR="007E13DE" w14:paraId="5FC91B5D"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574F9627" w14:textId="77777777" w:rsidR="007E13DE" w:rsidRDefault="00000000">
            <w:pPr>
              <w:spacing w:after="11"/>
              <w:ind w:left="2"/>
            </w:pPr>
            <w:r>
              <w:rPr>
                <w:rFonts w:ascii="Times New Roman" w:eastAsia="Times New Roman" w:hAnsi="Times New Roman" w:cs="Times New Roman"/>
                <w:sz w:val="8"/>
              </w:rPr>
              <w:t xml:space="preserve">14. Por fim, o MME, por meio do Ofício nº 84/2024/DPOTI/SNTEP-MME, de 18 de maio de 2024 (48513.009776/2024-00), do Ofício nº </w:t>
            </w:r>
          </w:p>
          <w:p w14:paraId="23402CA3" w14:textId="77777777" w:rsidR="007E13DE" w:rsidRDefault="00000000">
            <w:pPr>
              <w:spacing w:after="0"/>
              <w:ind w:left="2"/>
            </w:pPr>
            <w:r>
              <w:rPr>
                <w:rFonts w:ascii="Times New Roman" w:eastAsia="Times New Roman" w:hAnsi="Times New Roman" w:cs="Times New Roman"/>
                <w:sz w:val="8"/>
              </w:rPr>
              <w:t>102/2024/DPOTI/SNTEP-MME, de 24 de maio de 2024 (48513.014144/2024-00), do Ofício nº 105/2024/DPOTI/SNTEP-MME, de 24 de maio de 2024 (48513.014326/2024-00) e do Ofício nº 106/2024/DPOTI/SNTEP-MME, de 24 de maio de 2024 (48513.014331/2024-00), atualizou as informações sobre a situação dos pedidos anteriormente enviados por meio do Ofício nº 86/2024/DPOTI/SNTEP-MME, de 9 de maio de 2024.</w:t>
            </w:r>
          </w:p>
        </w:tc>
        <w:tc>
          <w:tcPr>
            <w:tcW w:w="0" w:type="auto"/>
            <w:gridSpan w:val="2"/>
            <w:vMerge/>
            <w:tcBorders>
              <w:top w:val="nil"/>
              <w:left w:val="single" w:sz="3" w:space="0" w:color="000000"/>
              <w:bottom w:val="nil"/>
              <w:right w:val="nil"/>
            </w:tcBorders>
          </w:tcPr>
          <w:p w14:paraId="6FFD3437" w14:textId="77777777" w:rsidR="007E13DE" w:rsidRDefault="007E13DE"/>
        </w:tc>
      </w:tr>
      <w:tr w:rsidR="007E13DE" w14:paraId="0C6C1C12"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412BA284" w14:textId="77777777" w:rsidR="007E13DE" w:rsidRDefault="00000000">
            <w:pPr>
              <w:spacing w:after="0"/>
              <w:ind w:left="5"/>
            </w:pPr>
            <w:r>
              <w:rPr>
                <w:rFonts w:ascii="Times New Roman" w:eastAsia="Times New Roman" w:hAnsi="Times New Roman" w:cs="Times New Roman"/>
                <w:sz w:val="11"/>
              </w:rPr>
              <w:t>III - DA ANÁLISE</w:t>
            </w:r>
          </w:p>
        </w:tc>
        <w:tc>
          <w:tcPr>
            <w:tcW w:w="0" w:type="auto"/>
            <w:gridSpan w:val="2"/>
            <w:vMerge/>
            <w:tcBorders>
              <w:top w:val="nil"/>
              <w:left w:val="single" w:sz="3" w:space="0" w:color="000000"/>
              <w:bottom w:val="nil"/>
              <w:right w:val="nil"/>
            </w:tcBorders>
          </w:tcPr>
          <w:p w14:paraId="420672BA" w14:textId="77777777" w:rsidR="007E13DE" w:rsidRDefault="007E13DE"/>
        </w:tc>
      </w:tr>
      <w:tr w:rsidR="007E13DE" w14:paraId="684840C7"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2A7D917E" w14:textId="77777777" w:rsidR="007E13DE" w:rsidRDefault="00000000">
            <w:pPr>
              <w:spacing w:after="0"/>
              <w:ind w:left="5"/>
            </w:pPr>
            <w:r>
              <w:rPr>
                <w:rFonts w:ascii="Times New Roman" w:eastAsia="Times New Roman" w:hAnsi="Times New Roman" w:cs="Times New Roman"/>
                <w:sz w:val="11"/>
              </w:rPr>
              <w:t>III.1 – Regras Atuais para Acesso de Consumidores à Rede Básica</w:t>
            </w:r>
          </w:p>
        </w:tc>
        <w:tc>
          <w:tcPr>
            <w:tcW w:w="0" w:type="auto"/>
            <w:gridSpan w:val="2"/>
            <w:vMerge/>
            <w:tcBorders>
              <w:top w:val="nil"/>
              <w:left w:val="single" w:sz="3" w:space="0" w:color="000000"/>
              <w:bottom w:val="nil"/>
              <w:right w:val="nil"/>
            </w:tcBorders>
          </w:tcPr>
          <w:p w14:paraId="2E435608" w14:textId="77777777" w:rsidR="007E13DE" w:rsidRDefault="007E13DE"/>
        </w:tc>
      </w:tr>
      <w:tr w:rsidR="007E13DE" w14:paraId="32C33E5D"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36EA0443" w14:textId="77777777" w:rsidR="007E13DE" w:rsidRDefault="00000000">
            <w:pPr>
              <w:spacing w:after="0"/>
              <w:ind w:left="2" w:right="14"/>
            </w:pPr>
            <w:r>
              <w:rPr>
                <w:rFonts w:ascii="Times New Roman" w:eastAsia="Times New Roman" w:hAnsi="Times New Roman" w:cs="Times New Roman"/>
                <w:sz w:val="8"/>
              </w:rPr>
              <w:t>15. O Decreto nº 5.597, de 28 de dezembro de 2005 (Decreto 5597/2005), regulamenta o processo de acesso dos consumidores à Rede Básica.</w:t>
            </w:r>
          </w:p>
        </w:tc>
        <w:tc>
          <w:tcPr>
            <w:tcW w:w="0" w:type="auto"/>
            <w:gridSpan w:val="2"/>
            <w:vMerge/>
            <w:tcBorders>
              <w:top w:val="nil"/>
              <w:left w:val="single" w:sz="3" w:space="0" w:color="000000"/>
              <w:bottom w:val="nil"/>
              <w:right w:val="nil"/>
            </w:tcBorders>
          </w:tcPr>
          <w:p w14:paraId="4AB23C61" w14:textId="77777777" w:rsidR="007E13DE" w:rsidRDefault="007E13DE"/>
        </w:tc>
      </w:tr>
      <w:tr w:rsidR="007E13DE" w14:paraId="2F10B05B"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73C498F" w14:textId="77777777" w:rsidR="007E13DE" w:rsidRDefault="00000000">
            <w:pPr>
              <w:spacing w:after="0"/>
              <w:ind w:left="2"/>
            </w:pPr>
            <w:r>
              <w:rPr>
                <w:rFonts w:ascii="Times New Roman" w:eastAsia="Times New Roman" w:hAnsi="Times New Roman" w:cs="Times New Roman"/>
                <w:sz w:val="8"/>
              </w:rPr>
              <w:t>16. Conforme o Decreto 5597/2005, o acesso de novas unidades consumidoras à Rede Básica seguirá as seguintes etapas sequencialmente:</w:t>
            </w:r>
          </w:p>
        </w:tc>
        <w:tc>
          <w:tcPr>
            <w:tcW w:w="0" w:type="auto"/>
            <w:gridSpan w:val="2"/>
            <w:vMerge/>
            <w:tcBorders>
              <w:top w:val="nil"/>
              <w:left w:val="single" w:sz="3" w:space="0" w:color="000000"/>
              <w:bottom w:val="nil"/>
              <w:right w:val="nil"/>
            </w:tcBorders>
          </w:tcPr>
          <w:p w14:paraId="2EDEA946" w14:textId="77777777" w:rsidR="007E13DE" w:rsidRDefault="007E13DE"/>
        </w:tc>
      </w:tr>
      <w:tr w:rsidR="007E13DE" w14:paraId="311000B6"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E4A694D" w14:textId="77777777" w:rsidR="007E13DE" w:rsidRDefault="00000000">
            <w:pPr>
              <w:spacing w:after="0"/>
              <w:ind w:left="370"/>
            </w:pPr>
            <w:r>
              <w:rPr>
                <w:rFonts w:ascii="Times New Roman" w:eastAsia="Times New Roman" w:hAnsi="Times New Roman" w:cs="Times New Roman"/>
                <w:sz w:val="8"/>
              </w:rPr>
              <w:t>a) Emissão de Portaria do Ministério de Minas e Energia (MME), fundamentada em parecer técnico, o qual deverá considerar o critério de mínimo custo global de interligação e reforço nas redes, além de estar compatibilizado com o planejamento da expansão do setor elétrico para um horizonte mínimo de cinco anos;</w:t>
            </w:r>
          </w:p>
        </w:tc>
        <w:tc>
          <w:tcPr>
            <w:tcW w:w="0" w:type="auto"/>
            <w:gridSpan w:val="2"/>
            <w:vMerge/>
            <w:tcBorders>
              <w:top w:val="nil"/>
              <w:left w:val="single" w:sz="3" w:space="0" w:color="000000"/>
              <w:bottom w:val="nil"/>
              <w:right w:val="nil"/>
            </w:tcBorders>
          </w:tcPr>
          <w:p w14:paraId="77B68B6E" w14:textId="77777777" w:rsidR="007E13DE" w:rsidRDefault="007E13DE"/>
        </w:tc>
      </w:tr>
      <w:tr w:rsidR="007E13DE" w14:paraId="25A98C51"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DF8026F" w14:textId="77777777" w:rsidR="007E13DE" w:rsidRDefault="00000000">
            <w:pPr>
              <w:spacing w:after="0"/>
              <w:ind w:left="370"/>
            </w:pPr>
            <w:r>
              <w:rPr>
                <w:rFonts w:ascii="Times New Roman" w:eastAsia="Times New Roman" w:hAnsi="Times New Roman" w:cs="Times New Roman"/>
                <w:sz w:val="8"/>
              </w:rPr>
              <w:t>b) Emissão de Parecer de Acesso pelo Operador Nacional do Sistema Elétrico (ONS);</w:t>
            </w:r>
          </w:p>
        </w:tc>
        <w:tc>
          <w:tcPr>
            <w:tcW w:w="0" w:type="auto"/>
            <w:gridSpan w:val="2"/>
            <w:vMerge/>
            <w:tcBorders>
              <w:top w:val="nil"/>
              <w:left w:val="single" w:sz="3" w:space="0" w:color="000000"/>
              <w:bottom w:val="nil"/>
              <w:right w:val="nil"/>
            </w:tcBorders>
          </w:tcPr>
          <w:p w14:paraId="3E823EA1" w14:textId="77777777" w:rsidR="007E13DE" w:rsidRDefault="007E13DE"/>
        </w:tc>
      </w:tr>
      <w:tr w:rsidR="007E13DE" w14:paraId="43AC7DC2"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478D37E" w14:textId="77777777" w:rsidR="007E13DE" w:rsidRDefault="00000000">
            <w:pPr>
              <w:spacing w:after="0"/>
              <w:ind w:left="370"/>
            </w:pPr>
            <w:r>
              <w:rPr>
                <w:rFonts w:ascii="Times New Roman" w:eastAsia="Times New Roman" w:hAnsi="Times New Roman" w:cs="Times New Roman"/>
                <w:sz w:val="8"/>
              </w:rPr>
              <w:t>c) Autorização da Agência Nacional de Energia Elétrica (ANEEL), que incluirá autorização para construção das instalações que conectarão a unidade consumidora à Rede Básica;</w:t>
            </w:r>
          </w:p>
        </w:tc>
        <w:tc>
          <w:tcPr>
            <w:tcW w:w="0" w:type="auto"/>
            <w:gridSpan w:val="2"/>
            <w:vMerge/>
            <w:tcBorders>
              <w:top w:val="nil"/>
              <w:left w:val="single" w:sz="3" w:space="0" w:color="000000"/>
              <w:bottom w:val="nil"/>
              <w:right w:val="nil"/>
            </w:tcBorders>
          </w:tcPr>
          <w:p w14:paraId="5A568155" w14:textId="77777777" w:rsidR="007E13DE" w:rsidRDefault="007E13DE"/>
        </w:tc>
      </w:tr>
      <w:tr w:rsidR="007E13DE" w14:paraId="1D8D395E"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B615A30" w14:textId="77777777" w:rsidR="007E13DE" w:rsidRDefault="00000000">
            <w:pPr>
              <w:spacing w:after="0"/>
              <w:ind w:left="370"/>
            </w:pPr>
            <w:r>
              <w:rPr>
                <w:rFonts w:ascii="Times New Roman" w:eastAsia="Times New Roman" w:hAnsi="Times New Roman" w:cs="Times New Roman"/>
                <w:sz w:val="8"/>
              </w:rPr>
              <w:t>d) Assinatura do Contrato de Uso do Sistema de Transmissão – CUST;</w:t>
            </w:r>
          </w:p>
        </w:tc>
        <w:tc>
          <w:tcPr>
            <w:tcW w:w="0" w:type="auto"/>
            <w:gridSpan w:val="2"/>
            <w:vMerge/>
            <w:tcBorders>
              <w:top w:val="nil"/>
              <w:left w:val="single" w:sz="3" w:space="0" w:color="000000"/>
              <w:bottom w:val="nil"/>
              <w:right w:val="nil"/>
            </w:tcBorders>
          </w:tcPr>
          <w:p w14:paraId="70CDADB0" w14:textId="77777777" w:rsidR="007E13DE" w:rsidRDefault="007E13DE"/>
        </w:tc>
      </w:tr>
      <w:tr w:rsidR="007E13DE" w14:paraId="6DB13DB1"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DDE8B83" w14:textId="77777777" w:rsidR="007E13DE" w:rsidRDefault="00000000">
            <w:pPr>
              <w:spacing w:after="0"/>
              <w:ind w:left="370"/>
            </w:pPr>
            <w:r>
              <w:rPr>
                <w:rFonts w:ascii="Times New Roman" w:eastAsia="Times New Roman" w:hAnsi="Times New Roman" w:cs="Times New Roman"/>
                <w:sz w:val="8"/>
              </w:rPr>
              <w:t>e) Execução das obras; e</w:t>
            </w:r>
          </w:p>
        </w:tc>
        <w:tc>
          <w:tcPr>
            <w:tcW w:w="0" w:type="auto"/>
            <w:gridSpan w:val="2"/>
            <w:vMerge/>
            <w:tcBorders>
              <w:top w:val="nil"/>
              <w:left w:val="single" w:sz="3" w:space="0" w:color="000000"/>
              <w:bottom w:val="nil"/>
              <w:right w:val="nil"/>
            </w:tcBorders>
          </w:tcPr>
          <w:p w14:paraId="6D9AFB8D" w14:textId="77777777" w:rsidR="007E13DE" w:rsidRDefault="007E13DE"/>
        </w:tc>
      </w:tr>
      <w:tr w:rsidR="007E13DE" w14:paraId="1D12ECCD"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39897AD" w14:textId="77777777" w:rsidR="007E13DE" w:rsidRDefault="00000000">
            <w:pPr>
              <w:spacing w:after="0"/>
              <w:ind w:left="370"/>
            </w:pPr>
            <w:r>
              <w:rPr>
                <w:rFonts w:ascii="Times New Roman" w:eastAsia="Times New Roman" w:hAnsi="Times New Roman" w:cs="Times New Roman"/>
                <w:sz w:val="8"/>
              </w:rPr>
              <w:t>f) Entrada em operação.</w:t>
            </w:r>
          </w:p>
        </w:tc>
        <w:tc>
          <w:tcPr>
            <w:tcW w:w="0" w:type="auto"/>
            <w:gridSpan w:val="2"/>
            <w:vMerge/>
            <w:tcBorders>
              <w:top w:val="nil"/>
              <w:left w:val="single" w:sz="3" w:space="0" w:color="000000"/>
              <w:bottom w:val="nil"/>
              <w:right w:val="nil"/>
            </w:tcBorders>
          </w:tcPr>
          <w:p w14:paraId="4FFFA2BC" w14:textId="77777777" w:rsidR="007E13DE" w:rsidRDefault="007E13DE"/>
        </w:tc>
      </w:tr>
      <w:tr w:rsidR="007E13DE" w14:paraId="34E0E6B4"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7A133A87" w14:textId="77777777" w:rsidR="007E13DE" w:rsidRDefault="00000000">
            <w:pPr>
              <w:spacing w:after="0"/>
              <w:ind w:left="2"/>
            </w:pPr>
            <w:r>
              <w:rPr>
                <w:rFonts w:ascii="Times New Roman" w:eastAsia="Times New Roman" w:hAnsi="Times New Roman" w:cs="Times New Roman"/>
                <w:sz w:val="8"/>
              </w:rPr>
              <w:t>17. O estudo de mínimo custo global que fundamentará a Portaria a ser emitida pelo MME deverá seguir as diretrizes dispostas na Portaria MME nº 311, de 13 de setembro de 2013, e do Guia de Procedimentos para Acesso ao Serviço Público de Transmissão de Energia Elétrica e Conexão à Rede Básica do Sistema Interligado Nacional, aprovado por meio da Portaria MME nº 24, de 16 de janeiro de 2014.</w:t>
            </w:r>
          </w:p>
        </w:tc>
        <w:tc>
          <w:tcPr>
            <w:tcW w:w="0" w:type="auto"/>
            <w:gridSpan w:val="2"/>
            <w:vMerge/>
            <w:tcBorders>
              <w:top w:val="nil"/>
              <w:left w:val="single" w:sz="3" w:space="0" w:color="000000"/>
              <w:bottom w:val="single" w:sz="3" w:space="0" w:color="000000"/>
              <w:right w:val="nil"/>
            </w:tcBorders>
          </w:tcPr>
          <w:p w14:paraId="4EB946E0" w14:textId="77777777" w:rsidR="007E13DE" w:rsidRDefault="007E13DE"/>
        </w:tc>
      </w:tr>
      <w:tr w:rsidR="007E13DE" w14:paraId="3E71EA4A" w14:textId="77777777">
        <w:trPr>
          <w:trHeight w:val="653"/>
        </w:trPr>
        <w:tc>
          <w:tcPr>
            <w:tcW w:w="5162" w:type="dxa"/>
            <w:tcBorders>
              <w:top w:val="single" w:sz="3" w:space="0" w:color="000000"/>
              <w:left w:val="single" w:sz="3" w:space="0" w:color="000000"/>
              <w:bottom w:val="single" w:sz="3" w:space="0" w:color="000000"/>
              <w:right w:val="single" w:sz="3" w:space="0" w:color="000000"/>
            </w:tcBorders>
            <w:vAlign w:val="center"/>
          </w:tcPr>
          <w:p w14:paraId="32FF4D60" w14:textId="77777777" w:rsidR="007E13DE" w:rsidRDefault="00000000">
            <w:pPr>
              <w:spacing w:after="0"/>
              <w:ind w:left="2" w:right="8"/>
            </w:pPr>
            <w:r>
              <w:rPr>
                <w:rFonts w:ascii="Times New Roman" w:eastAsia="Times New Roman" w:hAnsi="Times New Roman" w:cs="Times New Roman"/>
                <w:sz w:val="8"/>
              </w:rPr>
              <w:t>18. A Portaria e o Parecer de Acesso só poderão ser emitidos pelo MME e ONS, respectivamente, caso a rede existente juntamente com a rede já planejada de forma consolidada sejam suficientes para atender a nova unidade consumidora. Caso o atendimento só seja possível com a rede planejada, estes documentos e o CUST condicionarão o atendimento às obras necessárias.</w:t>
            </w:r>
          </w:p>
        </w:tc>
        <w:tc>
          <w:tcPr>
            <w:tcW w:w="1205" w:type="dxa"/>
            <w:tcBorders>
              <w:top w:val="single" w:sz="3" w:space="0" w:color="000000"/>
              <w:left w:val="single" w:sz="3" w:space="0" w:color="000000"/>
              <w:bottom w:val="single" w:sz="3" w:space="0" w:color="000000"/>
              <w:right w:val="single" w:sz="3" w:space="0" w:color="000000"/>
            </w:tcBorders>
            <w:vAlign w:val="center"/>
          </w:tcPr>
          <w:p w14:paraId="07482861"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7641D62B" w14:textId="0511C043" w:rsidR="007E13DE" w:rsidRDefault="00000000">
            <w:pPr>
              <w:spacing w:after="11"/>
              <w:ind w:left="2"/>
            </w:pPr>
            <w:r>
              <w:rPr>
                <w:rFonts w:ascii="Times New Roman" w:eastAsia="Times New Roman" w:hAnsi="Times New Roman" w:cs="Times New Roman"/>
                <w:sz w:val="8"/>
              </w:rPr>
              <w:t>A regulação deve levar em conta os efeitos que ocorrem no sistema</w:t>
            </w:r>
            <w:r w:rsidR="00BD1811">
              <w:rPr>
                <w:rFonts w:ascii="Times New Roman" w:eastAsia="Times New Roman" w:hAnsi="Times New Roman" w:cs="Times New Roman"/>
                <w:sz w:val="8"/>
              </w:rPr>
              <w:t>,</w:t>
            </w:r>
            <w:r>
              <w:rPr>
                <w:rFonts w:ascii="Times New Roman" w:eastAsia="Times New Roman" w:hAnsi="Times New Roman" w:cs="Times New Roman"/>
                <w:sz w:val="8"/>
              </w:rPr>
              <w:t xml:space="preserve"> fruto da expansão acelerada de fontes </w:t>
            </w:r>
          </w:p>
          <w:p w14:paraId="56C23405" w14:textId="77777777" w:rsidR="007E13DE" w:rsidRDefault="00000000">
            <w:pPr>
              <w:spacing w:after="11"/>
              <w:ind w:left="2"/>
            </w:pPr>
            <w:r>
              <w:rPr>
                <w:rFonts w:ascii="Times New Roman" w:eastAsia="Times New Roman" w:hAnsi="Times New Roman" w:cs="Times New Roman"/>
                <w:sz w:val="8"/>
              </w:rPr>
              <w:t xml:space="preserve">Solar e Eólica para o mercado livre - ACL. Muitos investimentos em transmissão fruto dos leilões de 2023 e </w:t>
            </w:r>
          </w:p>
          <w:p w14:paraId="73527C27" w14:textId="07027A12" w:rsidR="007E13DE" w:rsidRDefault="00000000">
            <w:pPr>
              <w:spacing w:after="0"/>
              <w:ind w:left="2"/>
            </w:pPr>
            <w:r>
              <w:rPr>
                <w:rFonts w:ascii="Times New Roman" w:eastAsia="Times New Roman" w:hAnsi="Times New Roman" w:cs="Times New Roman"/>
                <w:sz w:val="8"/>
              </w:rPr>
              <w:t xml:space="preserve">2024 </w:t>
            </w:r>
            <w:r w:rsidR="00BD1811">
              <w:rPr>
                <w:rFonts w:ascii="Times New Roman" w:eastAsia="Times New Roman" w:hAnsi="Times New Roman" w:cs="Times New Roman"/>
                <w:sz w:val="8"/>
              </w:rPr>
              <w:t>e</w:t>
            </w:r>
            <w:r>
              <w:rPr>
                <w:rFonts w:ascii="Times New Roman" w:eastAsia="Times New Roman" w:hAnsi="Times New Roman" w:cs="Times New Roman"/>
                <w:sz w:val="8"/>
              </w:rPr>
              <w:t>stão sendo executados para atender a essa expansão e são transferidos ao mercado regulado - ACR, que além dos valores que não deu causa devem suportar subsídios de 50% da TUSD.  e vão implicar em R$ 5 bilhões/ano em RAP aos consumidores cativos. Custos devem ser inteiramente arcados com quem deu causa.</w:t>
            </w:r>
          </w:p>
        </w:tc>
      </w:tr>
      <w:tr w:rsidR="007E13DE" w14:paraId="18377D42"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335F81E" w14:textId="77777777" w:rsidR="007E13DE" w:rsidRDefault="00000000">
            <w:pPr>
              <w:spacing w:after="0"/>
              <w:ind w:left="2"/>
            </w:pPr>
            <w:r>
              <w:rPr>
                <w:rFonts w:ascii="Times New Roman" w:eastAsia="Times New Roman" w:hAnsi="Times New Roman" w:cs="Times New Roman"/>
                <w:sz w:val="8"/>
              </w:rPr>
              <w:t>19. No que se refere à contratação do uso do sistema de transmissão, as unidades consumidoras estão sujeitas às Regras dos Serviços de Transmissão de Energia Elétrica (Regras de Transmissão) aprovadas por meio da Resolução Normativa nº 905, de 8 de dezembro de 2020.</w:t>
            </w:r>
          </w:p>
        </w:tc>
        <w:tc>
          <w:tcPr>
            <w:tcW w:w="5172" w:type="dxa"/>
            <w:gridSpan w:val="2"/>
            <w:tcBorders>
              <w:top w:val="single" w:sz="3" w:space="0" w:color="000000"/>
              <w:left w:val="single" w:sz="3" w:space="0" w:color="000000"/>
              <w:bottom w:val="single" w:sz="3" w:space="0" w:color="000000"/>
              <w:right w:val="nil"/>
            </w:tcBorders>
            <w:vAlign w:val="center"/>
          </w:tcPr>
          <w:p w14:paraId="387C6B91" w14:textId="77777777" w:rsidR="007E13DE" w:rsidRDefault="00000000">
            <w:pPr>
              <w:spacing w:after="0"/>
              <w:ind w:left="1205"/>
            </w:pPr>
            <w:r>
              <w:rPr>
                <w:rFonts w:ascii="Times New Roman" w:eastAsia="Times New Roman" w:hAnsi="Times New Roman" w:cs="Times New Roman"/>
                <w:sz w:val="7"/>
              </w:rPr>
              <w:t xml:space="preserve"> </w:t>
            </w:r>
          </w:p>
        </w:tc>
      </w:tr>
      <w:tr w:rsidR="007E13DE" w14:paraId="4B362437" w14:textId="77777777">
        <w:trPr>
          <w:trHeight w:val="761"/>
        </w:trPr>
        <w:tc>
          <w:tcPr>
            <w:tcW w:w="5162" w:type="dxa"/>
            <w:tcBorders>
              <w:top w:val="single" w:sz="3" w:space="0" w:color="000000"/>
              <w:left w:val="single" w:sz="3" w:space="0" w:color="000000"/>
              <w:bottom w:val="single" w:sz="3" w:space="0" w:color="000000"/>
              <w:right w:val="single" w:sz="3" w:space="0" w:color="000000"/>
            </w:tcBorders>
            <w:vAlign w:val="center"/>
          </w:tcPr>
          <w:p w14:paraId="23CD0FD1" w14:textId="77777777" w:rsidR="007E13DE" w:rsidRDefault="00000000">
            <w:pPr>
              <w:spacing w:after="0"/>
              <w:ind w:left="2"/>
            </w:pPr>
            <w:r>
              <w:rPr>
                <w:rFonts w:ascii="Times New Roman" w:eastAsia="Times New Roman" w:hAnsi="Times New Roman" w:cs="Times New Roman"/>
                <w:sz w:val="8"/>
              </w:rPr>
              <w:t>20. Conforme a Revisão 3 da Seção 5.2 do Módulo 5 das Regras de Transmissão, não há limitação para a data de início de execução do CUST. Sendo assim, a unidade consumidora poderá apontar qualquer data para o seu início da execução, ficando sujeita as regras destacadas a seguir para antecipação ou postergação desta data.</w:t>
            </w:r>
          </w:p>
        </w:tc>
        <w:tc>
          <w:tcPr>
            <w:tcW w:w="1205" w:type="dxa"/>
            <w:tcBorders>
              <w:top w:val="single" w:sz="3" w:space="0" w:color="000000"/>
              <w:left w:val="single" w:sz="3" w:space="0" w:color="000000"/>
              <w:bottom w:val="single" w:sz="3" w:space="0" w:color="000000"/>
              <w:right w:val="single" w:sz="3" w:space="0" w:color="000000"/>
            </w:tcBorders>
            <w:vAlign w:val="center"/>
          </w:tcPr>
          <w:p w14:paraId="0CE4794E"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340E578A" w14:textId="150974E7" w:rsidR="007E13DE" w:rsidRDefault="00000000">
            <w:pPr>
              <w:spacing w:after="11"/>
              <w:ind w:left="2"/>
            </w:pPr>
            <w:r>
              <w:rPr>
                <w:rFonts w:ascii="Times New Roman" w:eastAsia="Times New Roman" w:hAnsi="Times New Roman" w:cs="Times New Roman"/>
                <w:sz w:val="8"/>
              </w:rPr>
              <w:t>A regulação deve levar em conta os efeitos que ocorrem no sistema</w:t>
            </w:r>
            <w:r w:rsidR="00BD1811">
              <w:rPr>
                <w:rFonts w:ascii="Times New Roman" w:eastAsia="Times New Roman" w:hAnsi="Times New Roman" w:cs="Times New Roman"/>
                <w:sz w:val="8"/>
              </w:rPr>
              <w:t>,</w:t>
            </w:r>
            <w:r>
              <w:rPr>
                <w:rFonts w:ascii="Times New Roman" w:eastAsia="Times New Roman" w:hAnsi="Times New Roman" w:cs="Times New Roman"/>
                <w:sz w:val="8"/>
              </w:rPr>
              <w:t xml:space="preserve"> fruto da expansão acelerada de fontes </w:t>
            </w:r>
          </w:p>
          <w:p w14:paraId="2541176F" w14:textId="77777777" w:rsidR="007E13DE" w:rsidRDefault="00000000">
            <w:pPr>
              <w:spacing w:after="11"/>
              <w:ind w:left="2"/>
            </w:pPr>
            <w:r>
              <w:rPr>
                <w:rFonts w:ascii="Times New Roman" w:eastAsia="Times New Roman" w:hAnsi="Times New Roman" w:cs="Times New Roman"/>
                <w:sz w:val="8"/>
              </w:rPr>
              <w:t xml:space="preserve">Solar e Eólica para o mercado livre - ACL. Muitos investimentos em transmissão fruto dos leilões de 2023 e </w:t>
            </w:r>
          </w:p>
          <w:p w14:paraId="4D2CD00B" w14:textId="7EC19CB3" w:rsidR="007E13DE" w:rsidRDefault="00000000">
            <w:pPr>
              <w:spacing w:after="0"/>
              <w:ind w:left="2" w:right="8"/>
            </w:pPr>
            <w:r>
              <w:rPr>
                <w:rFonts w:ascii="Times New Roman" w:eastAsia="Times New Roman" w:hAnsi="Times New Roman" w:cs="Times New Roman"/>
                <w:sz w:val="8"/>
              </w:rPr>
              <w:t xml:space="preserve">2024 </w:t>
            </w:r>
            <w:r w:rsidR="00BD1811">
              <w:rPr>
                <w:rFonts w:ascii="Times New Roman" w:eastAsia="Times New Roman" w:hAnsi="Times New Roman" w:cs="Times New Roman"/>
                <w:sz w:val="8"/>
              </w:rPr>
              <w:t xml:space="preserve">estão </w:t>
            </w:r>
            <w:r>
              <w:rPr>
                <w:rFonts w:ascii="Times New Roman" w:eastAsia="Times New Roman" w:hAnsi="Times New Roman" w:cs="Times New Roman"/>
                <w:sz w:val="8"/>
              </w:rPr>
              <w:t>sendo executados para atender a essa expansão e são transferidos ao mercado regulado - ACR, que além dos valores que não deu causa devem suportar subsídios de 50% da TUSD.  e vão implicar em R$ 5 bilhões/ano em RAP aos consumidores cativos. O início de cobrança da do CUST deve ser associado a todos os consumidores que serão beneficiados pelas novas obras.</w:t>
            </w:r>
          </w:p>
        </w:tc>
      </w:tr>
      <w:tr w:rsidR="007E13DE" w14:paraId="2111F202"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718333C" w14:textId="77777777" w:rsidR="007E13DE" w:rsidRDefault="00000000">
            <w:pPr>
              <w:spacing w:after="0"/>
              <w:ind w:left="370"/>
            </w:pPr>
            <w:r>
              <w:rPr>
                <w:rFonts w:ascii="Times New Roman" w:eastAsia="Times New Roman" w:hAnsi="Times New Roman" w:cs="Times New Roman"/>
                <w:sz w:val="8"/>
              </w:rPr>
              <w:t>“4.7 A antecipação da data de início de execução do CUST será aprovada diretamente pelo ONS, desde que haja disponibilidade no SIN, mediante emissão de PARECER DE ACESSO específico.</w:t>
            </w:r>
          </w:p>
        </w:tc>
        <w:tc>
          <w:tcPr>
            <w:tcW w:w="5172" w:type="dxa"/>
            <w:gridSpan w:val="2"/>
            <w:vMerge w:val="restart"/>
            <w:tcBorders>
              <w:top w:val="single" w:sz="3" w:space="0" w:color="000000"/>
              <w:left w:val="single" w:sz="3" w:space="0" w:color="000000"/>
              <w:bottom w:val="single" w:sz="3" w:space="0" w:color="000000"/>
              <w:right w:val="nil"/>
            </w:tcBorders>
          </w:tcPr>
          <w:p w14:paraId="76727C28" w14:textId="77777777" w:rsidR="007E13DE" w:rsidRDefault="00000000">
            <w:pPr>
              <w:spacing w:after="0"/>
              <w:ind w:left="1205"/>
            </w:pPr>
            <w:r>
              <w:rPr>
                <w:rFonts w:ascii="Times New Roman" w:eastAsia="Times New Roman" w:hAnsi="Times New Roman" w:cs="Times New Roman"/>
                <w:sz w:val="7"/>
              </w:rPr>
              <w:t xml:space="preserve"> </w:t>
            </w:r>
          </w:p>
        </w:tc>
      </w:tr>
      <w:tr w:rsidR="007E13DE" w14:paraId="6AC5583F"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487E0AB9" w14:textId="77777777" w:rsidR="007E13DE" w:rsidRDefault="00000000">
            <w:pPr>
              <w:spacing w:after="0"/>
              <w:ind w:left="370"/>
            </w:pPr>
            <w:r>
              <w:rPr>
                <w:rFonts w:ascii="Times New Roman" w:eastAsia="Times New Roman" w:hAnsi="Times New Roman" w:cs="Times New Roman"/>
                <w:sz w:val="8"/>
              </w:rPr>
              <w:t>4.8 A data de início de execução do CUST em caráter permanente poderá ser postergada mediante solicitação ao ONS até o dia 31 de março anterior ao ciclo tarifário da data originalmente contratada, com cópia à ANEEL, desde que não tenha havido investimentos na rede associados ao acesso solicitado.</w:t>
            </w:r>
          </w:p>
        </w:tc>
        <w:tc>
          <w:tcPr>
            <w:tcW w:w="0" w:type="auto"/>
            <w:gridSpan w:val="2"/>
            <w:vMerge/>
            <w:tcBorders>
              <w:top w:val="nil"/>
              <w:left w:val="single" w:sz="3" w:space="0" w:color="000000"/>
              <w:bottom w:val="nil"/>
              <w:right w:val="nil"/>
            </w:tcBorders>
          </w:tcPr>
          <w:p w14:paraId="266E2670" w14:textId="77777777" w:rsidR="007E13DE" w:rsidRDefault="007E13DE"/>
        </w:tc>
      </w:tr>
      <w:tr w:rsidR="007E13DE" w14:paraId="12A72449"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2FD7669E" w14:textId="77777777" w:rsidR="007E13DE" w:rsidRDefault="00000000">
            <w:pPr>
              <w:spacing w:after="0"/>
              <w:ind w:left="737"/>
            </w:pPr>
            <w:r>
              <w:rPr>
                <w:rFonts w:ascii="Times New Roman" w:eastAsia="Times New Roman" w:hAnsi="Times New Roman" w:cs="Times New Roman"/>
                <w:sz w:val="8"/>
              </w:rPr>
              <w:t>4.8.1 É vedada a postergação para o CUST em execução na data de solicitação.</w:t>
            </w:r>
          </w:p>
        </w:tc>
        <w:tc>
          <w:tcPr>
            <w:tcW w:w="0" w:type="auto"/>
            <w:gridSpan w:val="2"/>
            <w:vMerge/>
            <w:tcBorders>
              <w:top w:val="nil"/>
              <w:left w:val="single" w:sz="3" w:space="0" w:color="000000"/>
              <w:bottom w:val="nil"/>
              <w:right w:val="nil"/>
            </w:tcBorders>
          </w:tcPr>
          <w:p w14:paraId="75888D71" w14:textId="77777777" w:rsidR="007E13DE" w:rsidRDefault="007E13DE"/>
        </w:tc>
      </w:tr>
      <w:tr w:rsidR="007E13DE" w14:paraId="323705E8"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3127BE4A" w14:textId="77777777" w:rsidR="007E13DE" w:rsidRDefault="00000000">
            <w:pPr>
              <w:spacing w:after="0"/>
              <w:ind w:left="737"/>
            </w:pPr>
            <w:r>
              <w:rPr>
                <w:rFonts w:ascii="Times New Roman" w:eastAsia="Times New Roman" w:hAnsi="Times New Roman" w:cs="Times New Roman"/>
                <w:sz w:val="8"/>
              </w:rPr>
              <w:t>4.8.2 A eventual postergação da data de contratação do uso do sistema de transmissão que tenha sido antecipada observará o disposto neste item.”</w:t>
            </w:r>
          </w:p>
        </w:tc>
        <w:tc>
          <w:tcPr>
            <w:tcW w:w="0" w:type="auto"/>
            <w:gridSpan w:val="2"/>
            <w:vMerge/>
            <w:tcBorders>
              <w:top w:val="nil"/>
              <w:left w:val="single" w:sz="3" w:space="0" w:color="000000"/>
              <w:bottom w:val="single" w:sz="3" w:space="0" w:color="000000"/>
              <w:right w:val="nil"/>
            </w:tcBorders>
          </w:tcPr>
          <w:p w14:paraId="5CBBF872" w14:textId="77777777" w:rsidR="007E13DE" w:rsidRDefault="007E13DE"/>
        </w:tc>
      </w:tr>
      <w:tr w:rsidR="007E13DE" w14:paraId="32670AD0" w14:textId="77777777">
        <w:trPr>
          <w:trHeight w:val="761"/>
        </w:trPr>
        <w:tc>
          <w:tcPr>
            <w:tcW w:w="5162" w:type="dxa"/>
            <w:tcBorders>
              <w:top w:val="single" w:sz="3" w:space="0" w:color="000000"/>
              <w:left w:val="single" w:sz="3" w:space="0" w:color="000000"/>
              <w:bottom w:val="single" w:sz="3" w:space="0" w:color="000000"/>
              <w:right w:val="single" w:sz="3" w:space="0" w:color="000000"/>
            </w:tcBorders>
            <w:vAlign w:val="center"/>
          </w:tcPr>
          <w:p w14:paraId="03EA5C9E" w14:textId="77777777" w:rsidR="007E13DE" w:rsidRDefault="00000000">
            <w:pPr>
              <w:spacing w:after="0"/>
              <w:ind w:left="2"/>
            </w:pPr>
            <w:r>
              <w:rPr>
                <w:rFonts w:ascii="Times New Roman" w:eastAsia="Times New Roman" w:hAnsi="Times New Roman" w:cs="Times New Roman"/>
                <w:sz w:val="8"/>
              </w:rPr>
              <w:lastRenderedPageBreak/>
              <w:t>21. Conforme o citado regulamento, a unidade consumidora deverá contratar o Montante de Uso do Sistema de Transmissão – MUST, por ponto de conexão, para cada horário de contratação (horário de ponta e horário fora de ponta), para os 4 anos civis subsequentes. Estes MUST contratados devem representar os máximos montantes anuais de demanda de potência elétrica para cada horário de contratação e não poderão ser inferiores ao apontado no estudo de mínimo custo global que motivou a emissão da Portaria do MME.</w:t>
            </w:r>
          </w:p>
        </w:tc>
        <w:tc>
          <w:tcPr>
            <w:tcW w:w="1205" w:type="dxa"/>
            <w:tcBorders>
              <w:top w:val="single" w:sz="3" w:space="0" w:color="000000"/>
              <w:left w:val="single" w:sz="3" w:space="0" w:color="000000"/>
              <w:bottom w:val="single" w:sz="3" w:space="0" w:color="000000"/>
              <w:right w:val="single" w:sz="3" w:space="0" w:color="000000"/>
            </w:tcBorders>
            <w:vAlign w:val="center"/>
          </w:tcPr>
          <w:p w14:paraId="50EFC9E0"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A208439" w14:textId="3903CF27" w:rsidR="007E13DE" w:rsidRDefault="00000000">
            <w:pPr>
              <w:spacing w:after="11"/>
              <w:ind w:left="2"/>
            </w:pPr>
            <w:r>
              <w:rPr>
                <w:rFonts w:ascii="Times New Roman" w:eastAsia="Times New Roman" w:hAnsi="Times New Roman" w:cs="Times New Roman"/>
                <w:sz w:val="8"/>
              </w:rPr>
              <w:t>A regulação deve levar em conta os efeitos que ocorrem no sistema</w:t>
            </w:r>
            <w:r w:rsidR="00BD1811">
              <w:rPr>
                <w:rFonts w:ascii="Times New Roman" w:eastAsia="Times New Roman" w:hAnsi="Times New Roman" w:cs="Times New Roman"/>
                <w:sz w:val="8"/>
              </w:rPr>
              <w:t>,</w:t>
            </w:r>
            <w:r>
              <w:rPr>
                <w:rFonts w:ascii="Times New Roman" w:eastAsia="Times New Roman" w:hAnsi="Times New Roman" w:cs="Times New Roman"/>
                <w:sz w:val="8"/>
              </w:rPr>
              <w:t xml:space="preserve"> fruto da expansão acelerada de fontes </w:t>
            </w:r>
          </w:p>
          <w:p w14:paraId="6C7D3D1F" w14:textId="77777777" w:rsidR="007E13DE" w:rsidRDefault="00000000">
            <w:pPr>
              <w:spacing w:after="11"/>
              <w:ind w:left="2"/>
            </w:pPr>
            <w:r>
              <w:rPr>
                <w:rFonts w:ascii="Times New Roman" w:eastAsia="Times New Roman" w:hAnsi="Times New Roman" w:cs="Times New Roman"/>
                <w:sz w:val="8"/>
              </w:rPr>
              <w:t xml:space="preserve">Solar e Eólica para o mercado livre - ACL. Muitos investimentos em transmissão fruto dos leilões de 2023 e </w:t>
            </w:r>
          </w:p>
          <w:p w14:paraId="1B9EB3DE" w14:textId="64A56AEC" w:rsidR="007E13DE" w:rsidRDefault="00000000">
            <w:pPr>
              <w:spacing w:after="0"/>
              <w:ind w:left="2" w:right="8"/>
            </w:pPr>
            <w:r>
              <w:rPr>
                <w:rFonts w:ascii="Times New Roman" w:eastAsia="Times New Roman" w:hAnsi="Times New Roman" w:cs="Times New Roman"/>
                <w:sz w:val="8"/>
              </w:rPr>
              <w:t>2024 estão sendo executados para atender a essa expansão e são transferidos ao mercado regulado - ACR, que além dos valores que não deu causa devem suportar subsídios de 50% da TUSD.  e vão implicar em R$ 5 bilhões/ano em RAP aos consumidores cativos. O início de cobrança da do CUST deve ser associado a todos os consumidores que serão beneficiados pelas novas obras.</w:t>
            </w:r>
          </w:p>
        </w:tc>
      </w:tr>
    </w:tbl>
    <w:p w14:paraId="3616AC1F" w14:textId="77777777" w:rsidR="007E13DE" w:rsidRDefault="007E13DE">
      <w:pPr>
        <w:spacing w:after="0"/>
        <w:ind w:left="-1440" w:right="8626"/>
      </w:pPr>
    </w:p>
    <w:tbl>
      <w:tblPr>
        <w:tblStyle w:val="TableGrid"/>
        <w:tblW w:w="10334" w:type="dxa"/>
        <w:tblInd w:w="-690" w:type="dxa"/>
        <w:tblCellMar>
          <w:top w:w="0" w:type="dxa"/>
          <w:left w:w="18" w:type="dxa"/>
          <w:bottom w:w="0" w:type="dxa"/>
          <w:right w:w="1" w:type="dxa"/>
        </w:tblCellMar>
        <w:tblLook w:val="04A0" w:firstRow="1" w:lastRow="0" w:firstColumn="1" w:lastColumn="0" w:noHBand="0" w:noVBand="1"/>
      </w:tblPr>
      <w:tblGrid>
        <w:gridCol w:w="4881"/>
        <w:gridCol w:w="824"/>
        <w:gridCol w:w="12315"/>
      </w:tblGrid>
      <w:tr w:rsidR="007E13DE" w14:paraId="136216DC"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1ED603F2" w14:textId="77777777" w:rsidR="007E13DE" w:rsidRDefault="00000000">
            <w:pPr>
              <w:spacing w:after="0"/>
              <w:ind w:right="2"/>
              <w:jc w:val="center"/>
            </w:pPr>
            <w:r>
              <w:rPr>
                <w:rFonts w:ascii="Times New Roman" w:eastAsia="Times New Roman" w:hAnsi="Times New Roman" w:cs="Times New Roman"/>
                <w:color w:val="0000FF"/>
                <w:sz w:val="11"/>
              </w:rPr>
              <w:t>CONTRIBUIÇÃO REFERENTE À CONSULTA PÚBLICA Nº 023/2024</w:t>
            </w:r>
          </w:p>
        </w:tc>
      </w:tr>
      <w:tr w:rsidR="007E13DE" w14:paraId="50226B09"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3513B563" w14:textId="77777777" w:rsidR="007E13DE" w:rsidRDefault="00000000">
            <w:pPr>
              <w:spacing w:after="0"/>
              <w:ind w:right="16"/>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32AB5B09"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53710A77" w14:textId="77777777" w:rsidR="007E13DE" w:rsidRDefault="00000000">
            <w:pPr>
              <w:tabs>
                <w:tab w:val="center" w:pos="727"/>
                <w:tab w:val="center" w:pos="5157"/>
              </w:tabs>
              <w:spacing w:after="0"/>
            </w:pPr>
            <w:r>
              <w:tab/>
            </w:r>
            <w:r>
              <w:rPr>
                <w:noProof/>
              </w:rPr>
              <w:drawing>
                <wp:inline distT="0" distB="0" distL="0" distR="0" wp14:anchorId="06025F59" wp14:editId="24108445">
                  <wp:extent cx="438912" cy="291084"/>
                  <wp:effectExtent l="0" t="0" r="0" b="0"/>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3A348177"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72D04002" w14:textId="77777777" w:rsidR="007E13DE" w:rsidRDefault="00000000">
            <w:pPr>
              <w:spacing w:after="0"/>
              <w:ind w:right="5"/>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38A56036"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0B578C13" w14:textId="77777777" w:rsidR="007E13DE" w:rsidRDefault="00000000">
            <w:pPr>
              <w:spacing w:after="0"/>
              <w:ind w:right="13"/>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3F2707F4"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3B68D102" w14:textId="77777777" w:rsidR="007E13DE" w:rsidRDefault="00000000">
            <w:pPr>
              <w:spacing w:after="0"/>
              <w:ind w:right="17"/>
              <w:jc w:val="center"/>
            </w:pPr>
            <w:r>
              <w:rPr>
                <w:rFonts w:ascii="Times New Roman" w:eastAsia="Times New Roman" w:hAnsi="Times New Roman" w:cs="Times New Roman"/>
                <w:color w:val="0000FF"/>
                <w:sz w:val="10"/>
              </w:rPr>
              <w:t>CONTRIBUIÇÕES RECEBIDAS</w:t>
            </w:r>
          </w:p>
        </w:tc>
      </w:tr>
      <w:tr w:rsidR="007E13DE" w14:paraId="6E81D9AB"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5768E764"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3594D35B" w14:textId="77777777">
        <w:trPr>
          <w:trHeight w:val="79"/>
        </w:trPr>
        <w:tc>
          <w:tcPr>
            <w:tcW w:w="5162" w:type="dxa"/>
            <w:tcBorders>
              <w:top w:val="double" w:sz="5" w:space="0" w:color="000000"/>
              <w:left w:val="single" w:sz="5" w:space="0" w:color="000000"/>
              <w:bottom w:val="double" w:sz="5" w:space="0" w:color="000000"/>
              <w:right w:val="single" w:sz="5" w:space="0" w:color="000000"/>
            </w:tcBorders>
          </w:tcPr>
          <w:p w14:paraId="06885602" w14:textId="77777777" w:rsidR="007E13DE" w:rsidRDefault="00000000">
            <w:pPr>
              <w:spacing w:after="0"/>
              <w:ind w:right="16"/>
              <w:jc w:val="center"/>
            </w:pPr>
            <w:r>
              <w:rPr>
                <w:rFonts w:ascii="Times New Roman" w:eastAsia="Times New Roman" w:hAnsi="Times New Roman" w:cs="Times New Roman"/>
                <w:color w:val="FFFFFF"/>
                <w:sz w:val="10"/>
              </w:rPr>
              <w:t xml:space="preserve">TEXTO/ANEEL </w:t>
            </w:r>
          </w:p>
        </w:tc>
        <w:tc>
          <w:tcPr>
            <w:tcW w:w="1205" w:type="dxa"/>
            <w:tcBorders>
              <w:top w:val="double" w:sz="5" w:space="0" w:color="000000"/>
              <w:left w:val="single" w:sz="5" w:space="0" w:color="000000"/>
              <w:bottom w:val="double" w:sz="5" w:space="0" w:color="000000"/>
              <w:right w:val="single" w:sz="5" w:space="0" w:color="000000"/>
            </w:tcBorders>
          </w:tcPr>
          <w:p w14:paraId="375838F5" w14:textId="77777777" w:rsidR="007E13DE" w:rsidRDefault="00000000">
            <w:pPr>
              <w:spacing w:after="0"/>
              <w:ind w:right="15"/>
              <w:jc w:val="center"/>
            </w:pPr>
            <w:r>
              <w:rPr>
                <w:rFonts w:ascii="Times New Roman" w:eastAsia="Times New Roman" w:hAnsi="Times New Roman" w:cs="Times New Roman"/>
                <w:color w:val="FFFFFF"/>
                <w:sz w:val="8"/>
              </w:rPr>
              <w:t>TEXTO/INSTITUIÇÃO</w:t>
            </w:r>
          </w:p>
        </w:tc>
        <w:tc>
          <w:tcPr>
            <w:tcW w:w="3967" w:type="dxa"/>
            <w:tcBorders>
              <w:top w:val="double" w:sz="5" w:space="0" w:color="000000"/>
              <w:left w:val="nil"/>
              <w:bottom w:val="double" w:sz="5" w:space="0" w:color="000000"/>
              <w:right w:val="nil"/>
            </w:tcBorders>
          </w:tcPr>
          <w:p w14:paraId="4E8DEB9D" w14:textId="77777777" w:rsidR="007E13DE" w:rsidRDefault="00000000">
            <w:pPr>
              <w:spacing w:after="0"/>
              <w:ind w:right="15"/>
              <w:jc w:val="center"/>
            </w:pPr>
            <w:r>
              <w:rPr>
                <w:rFonts w:ascii="Times New Roman" w:eastAsia="Times New Roman" w:hAnsi="Times New Roman" w:cs="Times New Roman"/>
                <w:color w:val="FFFFFF"/>
                <w:sz w:val="8"/>
              </w:rPr>
              <w:t>JUSTIFICATIVA/INSTITUIÇÃO</w:t>
            </w:r>
          </w:p>
        </w:tc>
      </w:tr>
      <w:tr w:rsidR="007E13DE" w14:paraId="73B2ED47" w14:textId="77777777">
        <w:trPr>
          <w:trHeight w:val="766"/>
        </w:trPr>
        <w:tc>
          <w:tcPr>
            <w:tcW w:w="5162" w:type="dxa"/>
            <w:tcBorders>
              <w:top w:val="double" w:sz="5" w:space="0" w:color="000000"/>
              <w:left w:val="single" w:sz="3" w:space="0" w:color="000000"/>
              <w:bottom w:val="single" w:sz="3" w:space="0" w:color="000000"/>
              <w:right w:val="single" w:sz="3" w:space="0" w:color="000000"/>
            </w:tcBorders>
            <w:vAlign w:val="center"/>
          </w:tcPr>
          <w:p w14:paraId="297D246C" w14:textId="77777777" w:rsidR="007E13DE" w:rsidRDefault="00000000">
            <w:pPr>
              <w:spacing w:after="0"/>
              <w:ind w:left="2"/>
            </w:pPr>
            <w:r>
              <w:rPr>
                <w:rFonts w:ascii="Times New Roman" w:eastAsia="Times New Roman" w:hAnsi="Times New Roman" w:cs="Times New Roman"/>
                <w:sz w:val="8"/>
              </w:rPr>
              <w:t>22. Todo ano, a unidade consumidora deverá informar o MUST a ser contratado para os 4 anos civis subsequentes, sendo permitidas, após transcorrido o período do estudo de mínimo custo global, reduções não onerosas no valor de até 10% do MUST previamente contratado. Tal restrição não se aplica ao 4o ano, pois é livre a declaração do MUST a ser contratado para este ano. Destacamos que, a partir do início da execução do CUST, não são permitidas reduções de MUST dentro do horizonte de planejamento que motivou a emissão da portaria do MME.</w:t>
            </w:r>
          </w:p>
        </w:tc>
        <w:tc>
          <w:tcPr>
            <w:tcW w:w="1205" w:type="dxa"/>
            <w:tcBorders>
              <w:top w:val="double" w:sz="5" w:space="0" w:color="000000"/>
              <w:left w:val="single" w:sz="3" w:space="0" w:color="000000"/>
              <w:bottom w:val="single" w:sz="3" w:space="0" w:color="000000"/>
              <w:right w:val="single" w:sz="3" w:space="0" w:color="000000"/>
            </w:tcBorders>
            <w:vAlign w:val="center"/>
          </w:tcPr>
          <w:p w14:paraId="40EB1F52"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double" w:sz="5" w:space="0" w:color="000000"/>
              <w:left w:val="single" w:sz="3" w:space="0" w:color="000000"/>
              <w:bottom w:val="single" w:sz="3" w:space="0" w:color="000000"/>
              <w:right w:val="single" w:sz="3" w:space="0" w:color="000000"/>
            </w:tcBorders>
          </w:tcPr>
          <w:p w14:paraId="171D6FB2" w14:textId="77777777" w:rsidR="007E13DE" w:rsidRDefault="00000000">
            <w:pPr>
              <w:spacing w:after="11"/>
              <w:ind w:left="2"/>
            </w:pPr>
            <w:r>
              <w:rPr>
                <w:rFonts w:ascii="Times New Roman" w:eastAsia="Times New Roman" w:hAnsi="Times New Roman" w:cs="Times New Roman"/>
                <w:sz w:val="8"/>
              </w:rPr>
              <w:t xml:space="preserve">A regulação deve levar em conta os efeitos que ocorrem no sistema fruto da expansão acelerada de fontes </w:t>
            </w:r>
          </w:p>
          <w:p w14:paraId="5F52D083" w14:textId="77777777" w:rsidR="007E13DE" w:rsidRDefault="00000000">
            <w:pPr>
              <w:spacing w:after="11"/>
              <w:ind w:left="2"/>
            </w:pPr>
            <w:r>
              <w:rPr>
                <w:rFonts w:ascii="Times New Roman" w:eastAsia="Times New Roman" w:hAnsi="Times New Roman" w:cs="Times New Roman"/>
                <w:sz w:val="8"/>
              </w:rPr>
              <w:t xml:space="preserve">Solar e Eólica para o mercado livre - ACL. Muitos investimentos em transmissão fruto dos leilões de 2023 e </w:t>
            </w:r>
          </w:p>
          <w:p w14:paraId="07160B0F" w14:textId="77777777" w:rsidR="007E13DE" w:rsidRDefault="00000000">
            <w:pPr>
              <w:spacing w:after="0"/>
              <w:ind w:left="2" w:right="8"/>
            </w:pPr>
            <w:r>
              <w:rPr>
                <w:rFonts w:ascii="Times New Roman" w:eastAsia="Times New Roman" w:hAnsi="Times New Roman" w:cs="Times New Roman"/>
                <w:sz w:val="8"/>
              </w:rPr>
              <w:t>2024 festão sendo executados para atender a essa expansão e são transferidos ao mercado regulado - ACR, que além dos valores que não deu causa devem suportar subsídios de 50% da TUSD.  e vão implicar em R$ 5 bilhões/ano em RAP aos consumidores cativos. O início de cobrança da do CUST deve ser associado a todos os consumidores que serão beneficiados pelas novas obras.</w:t>
            </w:r>
          </w:p>
        </w:tc>
      </w:tr>
      <w:tr w:rsidR="007E13DE" w14:paraId="65EE034E"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3245AACA" w14:textId="77777777" w:rsidR="007E13DE" w:rsidRDefault="00000000">
            <w:pPr>
              <w:spacing w:after="0"/>
              <w:ind w:left="2"/>
            </w:pPr>
            <w:r>
              <w:rPr>
                <w:rFonts w:ascii="Times New Roman" w:eastAsia="Times New Roman" w:hAnsi="Times New Roman" w:cs="Times New Roman"/>
                <w:sz w:val="8"/>
              </w:rPr>
              <w:t>23. Caso a unidade consumidora decida reduzir o MUST contratado em valores superiores a 10% do valor anteriormente contratado para aquele ano, esta redução será onerosa, sendo este ônus calculado multiplicando-se a Tarifa de Uso do Sistema de Transmissão – TUST – vigente no primeiro mês da redução onerosa e o MUST a ser reduzido que exceder 10%, por horário de contratação, até o final do terceiro ano civil subsequente, sendo que a liquidação ocorrerá na primeira apuração mensal de serviços e encargos subsequente.</w:t>
            </w:r>
          </w:p>
        </w:tc>
        <w:tc>
          <w:tcPr>
            <w:tcW w:w="1205" w:type="dxa"/>
            <w:vMerge w:val="restart"/>
            <w:tcBorders>
              <w:top w:val="single" w:sz="3" w:space="0" w:color="000000"/>
              <w:left w:val="single" w:sz="3" w:space="0" w:color="000000"/>
              <w:bottom w:val="single" w:sz="3" w:space="0" w:color="000000"/>
              <w:right w:val="nil"/>
            </w:tcBorders>
          </w:tcPr>
          <w:p w14:paraId="35B5D3BC" w14:textId="77777777" w:rsidR="007E13DE" w:rsidRDefault="007E13DE"/>
        </w:tc>
        <w:tc>
          <w:tcPr>
            <w:tcW w:w="3967" w:type="dxa"/>
            <w:vMerge w:val="restart"/>
            <w:tcBorders>
              <w:top w:val="single" w:sz="3" w:space="0" w:color="000000"/>
              <w:left w:val="nil"/>
              <w:bottom w:val="single" w:sz="3" w:space="0" w:color="000000"/>
              <w:right w:val="nil"/>
            </w:tcBorders>
          </w:tcPr>
          <w:p w14:paraId="1B88B0A9" w14:textId="77777777" w:rsidR="007E13DE" w:rsidRDefault="007E13DE"/>
        </w:tc>
      </w:tr>
      <w:tr w:rsidR="007E13DE" w14:paraId="159D1AE2"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7701C536" w14:textId="77777777" w:rsidR="007E13DE" w:rsidRDefault="00000000">
            <w:pPr>
              <w:spacing w:after="0"/>
              <w:ind w:left="2" w:right="12"/>
            </w:pPr>
            <w:r>
              <w:rPr>
                <w:rFonts w:ascii="Times New Roman" w:eastAsia="Times New Roman" w:hAnsi="Times New Roman" w:cs="Times New Roman"/>
                <w:sz w:val="8"/>
              </w:rPr>
              <w:t>24. Em caso de descontratação de um ponto de conexão ou rescisão do CUST, serão devidos encargos rescisórios calculados multiplicando-se a TUST vigente no mês subsequente à descontratação ou rescisão e os MUST descontratados ou rescindidos, por horário de contratação, até o final do período de contratação, sendo que a liquidação ocorrerá na primeira apuração mensal de serviços e encargos subsequente.</w:t>
            </w:r>
          </w:p>
        </w:tc>
        <w:tc>
          <w:tcPr>
            <w:tcW w:w="0" w:type="auto"/>
            <w:vMerge/>
            <w:tcBorders>
              <w:top w:val="nil"/>
              <w:left w:val="single" w:sz="3" w:space="0" w:color="000000"/>
              <w:bottom w:val="nil"/>
              <w:right w:val="nil"/>
            </w:tcBorders>
          </w:tcPr>
          <w:p w14:paraId="19F7AED1" w14:textId="77777777" w:rsidR="007E13DE" w:rsidRDefault="007E13DE"/>
        </w:tc>
        <w:tc>
          <w:tcPr>
            <w:tcW w:w="0" w:type="auto"/>
            <w:vMerge/>
            <w:tcBorders>
              <w:top w:val="nil"/>
              <w:left w:val="nil"/>
              <w:bottom w:val="nil"/>
              <w:right w:val="nil"/>
            </w:tcBorders>
          </w:tcPr>
          <w:p w14:paraId="4DFA47B0" w14:textId="77777777" w:rsidR="007E13DE" w:rsidRDefault="007E13DE"/>
        </w:tc>
      </w:tr>
      <w:tr w:rsidR="007E13DE" w14:paraId="3A297404"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71D11D0" w14:textId="77777777" w:rsidR="007E13DE" w:rsidRDefault="00000000">
            <w:pPr>
              <w:spacing w:after="0"/>
              <w:ind w:left="2"/>
            </w:pPr>
            <w:r>
              <w:rPr>
                <w:rFonts w:ascii="Times New Roman" w:eastAsia="Times New Roman" w:hAnsi="Times New Roman" w:cs="Times New Roman"/>
                <w:sz w:val="8"/>
              </w:rPr>
              <w:t>25. Aumentos no MUST contratado podem ser realizados até 4 vezes ao ano, mediante emissão de Parecer de Acesso específico pelo ONS.</w:t>
            </w:r>
          </w:p>
        </w:tc>
        <w:tc>
          <w:tcPr>
            <w:tcW w:w="0" w:type="auto"/>
            <w:vMerge/>
            <w:tcBorders>
              <w:top w:val="nil"/>
              <w:left w:val="single" w:sz="3" w:space="0" w:color="000000"/>
              <w:bottom w:val="single" w:sz="3" w:space="0" w:color="000000"/>
              <w:right w:val="nil"/>
            </w:tcBorders>
          </w:tcPr>
          <w:p w14:paraId="41413DDE" w14:textId="77777777" w:rsidR="007E13DE" w:rsidRDefault="007E13DE"/>
        </w:tc>
        <w:tc>
          <w:tcPr>
            <w:tcW w:w="0" w:type="auto"/>
            <w:vMerge/>
            <w:tcBorders>
              <w:top w:val="nil"/>
              <w:left w:val="nil"/>
              <w:bottom w:val="single" w:sz="3" w:space="0" w:color="000000"/>
              <w:right w:val="nil"/>
            </w:tcBorders>
          </w:tcPr>
          <w:p w14:paraId="7EEF374D" w14:textId="77777777" w:rsidR="007E13DE" w:rsidRDefault="007E13DE"/>
        </w:tc>
      </w:tr>
      <w:tr w:rsidR="007E13DE" w14:paraId="0C14CE2B" w14:textId="77777777">
        <w:trPr>
          <w:trHeight w:val="761"/>
        </w:trPr>
        <w:tc>
          <w:tcPr>
            <w:tcW w:w="5162" w:type="dxa"/>
            <w:tcBorders>
              <w:top w:val="single" w:sz="3" w:space="0" w:color="000000"/>
              <w:left w:val="single" w:sz="3" w:space="0" w:color="000000"/>
              <w:bottom w:val="single" w:sz="3" w:space="0" w:color="000000"/>
              <w:right w:val="single" w:sz="3" w:space="0" w:color="000000"/>
            </w:tcBorders>
            <w:vAlign w:val="center"/>
          </w:tcPr>
          <w:p w14:paraId="63549EC8" w14:textId="77777777" w:rsidR="007E13DE" w:rsidRDefault="00000000">
            <w:pPr>
              <w:spacing w:after="11"/>
              <w:ind w:left="2"/>
            </w:pPr>
            <w:r>
              <w:rPr>
                <w:rFonts w:ascii="Times New Roman" w:eastAsia="Times New Roman" w:hAnsi="Times New Roman" w:cs="Times New Roman"/>
                <w:sz w:val="8"/>
              </w:rPr>
              <w:t xml:space="preserve">26. Em caso de desconexão, a unidade consumidora deverá arcar com os custos relativos à conexão, descontada a depreciação e </w:t>
            </w:r>
          </w:p>
          <w:p w14:paraId="405C5CFC" w14:textId="77777777" w:rsidR="007E13DE" w:rsidRDefault="00000000">
            <w:pPr>
              <w:spacing w:after="0"/>
              <w:ind w:left="2"/>
            </w:pPr>
            <w:r>
              <w:rPr>
                <w:rFonts w:ascii="Times New Roman" w:eastAsia="Times New Roman" w:hAnsi="Times New Roman" w:cs="Times New Roman"/>
                <w:sz w:val="8"/>
              </w:rPr>
              <w:t>amortização contábil, bem como dos respectivos custos de desmobilização e desativação. A desconexão fica condicionada à implantação de ampliações, reforços e melhorias necessárias para preservar os padrões de qualidade e desempenho do sistema elétrico.</w:t>
            </w:r>
          </w:p>
        </w:tc>
        <w:tc>
          <w:tcPr>
            <w:tcW w:w="1205" w:type="dxa"/>
            <w:tcBorders>
              <w:top w:val="single" w:sz="3" w:space="0" w:color="000000"/>
              <w:left w:val="single" w:sz="3" w:space="0" w:color="000000"/>
              <w:bottom w:val="single" w:sz="3" w:space="0" w:color="000000"/>
              <w:right w:val="single" w:sz="3" w:space="0" w:color="000000"/>
            </w:tcBorders>
            <w:vAlign w:val="center"/>
          </w:tcPr>
          <w:p w14:paraId="326812D4"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5DA71C57" w14:textId="77777777" w:rsidR="007E13DE" w:rsidRDefault="00000000">
            <w:pPr>
              <w:spacing w:after="11"/>
              <w:ind w:left="2"/>
            </w:pPr>
            <w:r>
              <w:rPr>
                <w:rFonts w:ascii="Times New Roman" w:eastAsia="Times New Roman" w:hAnsi="Times New Roman" w:cs="Times New Roman"/>
                <w:sz w:val="8"/>
              </w:rPr>
              <w:t xml:space="preserve">A regulação deve levar em conta os efeitos que ocorrem no sistema fruto da expansão acelerada de fontes </w:t>
            </w:r>
          </w:p>
          <w:p w14:paraId="6EF720D3" w14:textId="77777777" w:rsidR="007E13DE" w:rsidRDefault="00000000">
            <w:pPr>
              <w:spacing w:after="11"/>
              <w:ind w:left="2"/>
            </w:pPr>
            <w:r>
              <w:rPr>
                <w:rFonts w:ascii="Times New Roman" w:eastAsia="Times New Roman" w:hAnsi="Times New Roman" w:cs="Times New Roman"/>
                <w:sz w:val="8"/>
              </w:rPr>
              <w:t xml:space="preserve">Solar e Eólica para o mercado livre - ACL. Muitos investimentos em transmissão fruto dos leilões de 2023 e </w:t>
            </w:r>
          </w:p>
          <w:p w14:paraId="19B33C16" w14:textId="77777777" w:rsidR="007E13DE" w:rsidRDefault="00000000">
            <w:pPr>
              <w:spacing w:after="0"/>
              <w:ind w:left="2" w:right="8"/>
            </w:pPr>
            <w:r>
              <w:rPr>
                <w:rFonts w:ascii="Times New Roman" w:eastAsia="Times New Roman" w:hAnsi="Times New Roman" w:cs="Times New Roman"/>
                <w:sz w:val="8"/>
              </w:rPr>
              <w:t>2024 festão sendo executados para atender a essa expansão e são transferidos ao mercado regulado - ACR, que além dos valores que não deu causa devem suportar subsídios de 50% da TUSD.  e vão implicar em R$ 5 bilhões/ano em RAP aos consumidores cativos. O início de cobrança da do CUST deve ser associado a todos os consumidores que serão beneficiados pelas novas obras.</w:t>
            </w:r>
          </w:p>
        </w:tc>
      </w:tr>
      <w:tr w:rsidR="007E13DE" w14:paraId="34C9FCF4" w14:textId="77777777">
        <w:trPr>
          <w:trHeight w:val="290"/>
        </w:trPr>
        <w:tc>
          <w:tcPr>
            <w:tcW w:w="5162" w:type="dxa"/>
            <w:tcBorders>
              <w:top w:val="single" w:sz="3" w:space="0" w:color="000000"/>
              <w:left w:val="single" w:sz="3" w:space="0" w:color="000000"/>
              <w:bottom w:val="single" w:sz="3" w:space="0" w:color="000000"/>
              <w:right w:val="single" w:sz="3" w:space="0" w:color="000000"/>
            </w:tcBorders>
          </w:tcPr>
          <w:p w14:paraId="1536079D" w14:textId="77777777" w:rsidR="007E13DE" w:rsidRDefault="00000000">
            <w:pPr>
              <w:spacing w:after="0"/>
              <w:ind w:left="5"/>
            </w:pPr>
            <w:r>
              <w:rPr>
                <w:rFonts w:ascii="Times New Roman" w:eastAsia="Times New Roman" w:hAnsi="Times New Roman" w:cs="Times New Roman"/>
                <w:sz w:val="11"/>
              </w:rPr>
              <w:t>III.2 – Histórico de Redução Onerosa e Descontratação de Consumidores Conectados à Rede Básica</w:t>
            </w:r>
          </w:p>
        </w:tc>
        <w:tc>
          <w:tcPr>
            <w:tcW w:w="1205" w:type="dxa"/>
            <w:vMerge w:val="restart"/>
            <w:tcBorders>
              <w:top w:val="single" w:sz="3" w:space="0" w:color="000000"/>
              <w:left w:val="single" w:sz="3" w:space="0" w:color="000000"/>
              <w:bottom w:val="single" w:sz="3" w:space="0" w:color="000000"/>
              <w:right w:val="nil"/>
            </w:tcBorders>
          </w:tcPr>
          <w:p w14:paraId="54CECA28" w14:textId="77777777" w:rsidR="007E13DE" w:rsidRDefault="007E13DE"/>
        </w:tc>
        <w:tc>
          <w:tcPr>
            <w:tcW w:w="3967" w:type="dxa"/>
            <w:vMerge w:val="restart"/>
            <w:tcBorders>
              <w:top w:val="single" w:sz="3" w:space="0" w:color="000000"/>
              <w:left w:val="nil"/>
              <w:bottom w:val="single" w:sz="3" w:space="0" w:color="000000"/>
              <w:right w:val="nil"/>
            </w:tcBorders>
          </w:tcPr>
          <w:p w14:paraId="1C2E3C3F" w14:textId="77777777" w:rsidR="007E13DE" w:rsidRDefault="007E13DE"/>
        </w:tc>
      </w:tr>
      <w:tr w:rsidR="007E13DE" w14:paraId="44944B9D"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43F9DBBB" w14:textId="77777777" w:rsidR="007E13DE" w:rsidRDefault="00000000">
            <w:pPr>
              <w:spacing w:after="0"/>
              <w:ind w:left="2"/>
            </w:pPr>
            <w:r>
              <w:rPr>
                <w:rFonts w:ascii="Times New Roman" w:eastAsia="Times New Roman" w:hAnsi="Times New Roman" w:cs="Times New Roman"/>
                <w:sz w:val="8"/>
              </w:rPr>
              <w:t>27. Conforme informações disponibilizadas pelo ONS, no período de 2016 até 2023 não foi verificado o pagamento, por unidades consumidoras, de encargos relativos à redução onerosa de MUST, descontratação de um ponto de conexão ou rescisão de CUST.</w:t>
            </w:r>
          </w:p>
        </w:tc>
        <w:tc>
          <w:tcPr>
            <w:tcW w:w="0" w:type="auto"/>
            <w:vMerge/>
            <w:tcBorders>
              <w:top w:val="nil"/>
              <w:left w:val="single" w:sz="3" w:space="0" w:color="000000"/>
              <w:bottom w:val="nil"/>
              <w:right w:val="nil"/>
            </w:tcBorders>
          </w:tcPr>
          <w:p w14:paraId="636F6C86" w14:textId="77777777" w:rsidR="007E13DE" w:rsidRDefault="007E13DE"/>
        </w:tc>
        <w:tc>
          <w:tcPr>
            <w:tcW w:w="0" w:type="auto"/>
            <w:vMerge/>
            <w:tcBorders>
              <w:top w:val="nil"/>
              <w:left w:val="nil"/>
              <w:bottom w:val="nil"/>
              <w:right w:val="nil"/>
            </w:tcBorders>
          </w:tcPr>
          <w:p w14:paraId="44A3377B" w14:textId="77777777" w:rsidR="007E13DE" w:rsidRDefault="007E13DE"/>
        </w:tc>
      </w:tr>
      <w:tr w:rsidR="007E13DE" w14:paraId="542534F2"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0825AF63" w14:textId="77777777" w:rsidR="007E13DE" w:rsidRDefault="00000000">
            <w:pPr>
              <w:spacing w:after="0"/>
              <w:ind w:left="5"/>
            </w:pPr>
            <w:r>
              <w:rPr>
                <w:rFonts w:ascii="Times New Roman" w:eastAsia="Times New Roman" w:hAnsi="Times New Roman" w:cs="Times New Roman"/>
                <w:sz w:val="11"/>
              </w:rPr>
              <w:t>III.3 – Situação Atual dos Consumidores Conectados à Rede Básica</w:t>
            </w:r>
          </w:p>
        </w:tc>
        <w:tc>
          <w:tcPr>
            <w:tcW w:w="0" w:type="auto"/>
            <w:vMerge/>
            <w:tcBorders>
              <w:top w:val="nil"/>
              <w:left w:val="single" w:sz="3" w:space="0" w:color="000000"/>
              <w:bottom w:val="nil"/>
              <w:right w:val="nil"/>
            </w:tcBorders>
          </w:tcPr>
          <w:p w14:paraId="28C62B47" w14:textId="77777777" w:rsidR="007E13DE" w:rsidRDefault="007E13DE"/>
        </w:tc>
        <w:tc>
          <w:tcPr>
            <w:tcW w:w="0" w:type="auto"/>
            <w:vMerge/>
            <w:tcBorders>
              <w:top w:val="nil"/>
              <w:left w:val="nil"/>
              <w:bottom w:val="nil"/>
              <w:right w:val="nil"/>
            </w:tcBorders>
          </w:tcPr>
          <w:p w14:paraId="5577131D" w14:textId="77777777" w:rsidR="007E13DE" w:rsidRDefault="007E13DE"/>
        </w:tc>
      </w:tr>
      <w:tr w:rsidR="007E13DE" w14:paraId="23093DDE"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326D19F5" w14:textId="77777777" w:rsidR="007E13DE" w:rsidRDefault="00000000">
            <w:pPr>
              <w:spacing w:after="0"/>
              <w:ind w:left="2"/>
            </w:pPr>
            <w:r>
              <w:rPr>
                <w:rFonts w:ascii="Times New Roman" w:eastAsia="Times New Roman" w:hAnsi="Times New Roman" w:cs="Times New Roman"/>
                <w:sz w:val="8"/>
              </w:rPr>
              <w:t>28. A Resolução Homologatória nº 3.217, de 4 de julho de 2023 (REH 3217/2023), estabeleceu a TUST para o ciclo tarifário 2023-2024, vigente entre 1o de julho de 2023 e 30 de junho de 2024.</w:t>
            </w:r>
          </w:p>
        </w:tc>
        <w:tc>
          <w:tcPr>
            <w:tcW w:w="0" w:type="auto"/>
            <w:vMerge/>
            <w:tcBorders>
              <w:top w:val="nil"/>
              <w:left w:val="single" w:sz="3" w:space="0" w:color="000000"/>
              <w:bottom w:val="nil"/>
              <w:right w:val="nil"/>
            </w:tcBorders>
          </w:tcPr>
          <w:p w14:paraId="1E899104" w14:textId="77777777" w:rsidR="007E13DE" w:rsidRDefault="007E13DE"/>
        </w:tc>
        <w:tc>
          <w:tcPr>
            <w:tcW w:w="0" w:type="auto"/>
            <w:vMerge/>
            <w:tcBorders>
              <w:top w:val="nil"/>
              <w:left w:val="nil"/>
              <w:bottom w:val="nil"/>
              <w:right w:val="nil"/>
            </w:tcBorders>
          </w:tcPr>
          <w:p w14:paraId="1E8D0518" w14:textId="77777777" w:rsidR="007E13DE" w:rsidRDefault="007E13DE"/>
        </w:tc>
      </w:tr>
      <w:tr w:rsidR="007E13DE" w14:paraId="1EB30F67"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4972073" w14:textId="77777777" w:rsidR="007E13DE" w:rsidRDefault="00000000">
            <w:pPr>
              <w:spacing w:after="0"/>
              <w:ind w:left="2"/>
            </w:pPr>
            <w:r>
              <w:rPr>
                <w:rFonts w:ascii="Times New Roman" w:eastAsia="Times New Roman" w:hAnsi="Times New Roman" w:cs="Times New Roman"/>
                <w:sz w:val="8"/>
              </w:rPr>
              <w:t>29. Com base nas informações trazidas pela REH 3217/2023, verifica-se que foram consideradas 146 unidades consumidoras conectadas diretamente na Rede Básica, sendo que cada uma delas um possui um MUST contratado para o horário de ponta e um MUST contratado para o horário fora de ponta.</w:t>
            </w:r>
          </w:p>
        </w:tc>
        <w:tc>
          <w:tcPr>
            <w:tcW w:w="0" w:type="auto"/>
            <w:vMerge/>
            <w:tcBorders>
              <w:top w:val="nil"/>
              <w:left w:val="single" w:sz="3" w:space="0" w:color="000000"/>
              <w:bottom w:val="nil"/>
              <w:right w:val="nil"/>
            </w:tcBorders>
          </w:tcPr>
          <w:p w14:paraId="24C4BB76" w14:textId="77777777" w:rsidR="007E13DE" w:rsidRDefault="007E13DE"/>
        </w:tc>
        <w:tc>
          <w:tcPr>
            <w:tcW w:w="0" w:type="auto"/>
            <w:vMerge/>
            <w:tcBorders>
              <w:top w:val="nil"/>
              <w:left w:val="nil"/>
              <w:bottom w:val="nil"/>
              <w:right w:val="nil"/>
            </w:tcBorders>
          </w:tcPr>
          <w:p w14:paraId="2A5875FC" w14:textId="77777777" w:rsidR="007E13DE" w:rsidRDefault="007E13DE"/>
        </w:tc>
      </w:tr>
      <w:tr w:rsidR="007E13DE" w14:paraId="5A01B0B9"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5662A780" w14:textId="77777777" w:rsidR="007E13DE" w:rsidRDefault="00000000">
            <w:pPr>
              <w:spacing w:after="0"/>
              <w:ind w:left="2"/>
            </w:pPr>
            <w:r>
              <w:rPr>
                <w:rFonts w:ascii="Times New Roman" w:eastAsia="Times New Roman" w:hAnsi="Times New Roman" w:cs="Times New Roman"/>
                <w:sz w:val="8"/>
              </w:rPr>
              <w:t>30. Considerando o maior MUST contratado dentre o MUST contratado para o horário de ponta e o MUST contratado para o horário fora de ponta, foi elaborado o gráfico apresentado a seguir, que mostra a quantidade de unidades consumidoras conectadas na Rede Básica que possuem o maior MUST contratado dentro dos intervalos apontados.</w:t>
            </w:r>
          </w:p>
        </w:tc>
        <w:tc>
          <w:tcPr>
            <w:tcW w:w="0" w:type="auto"/>
            <w:vMerge/>
            <w:tcBorders>
              <w:top w:val="nil"/>
              <w:left w:val="single" w:sz="3" w:space="0" w:color="000000"/>
              <w:bottom w:val="nil"/>
              <w:right w:val="nil"/>
            </w:tcBorders>
          </w:tcPr>
          <w:p w14:paraId="21C0C579" w14:textId="77777777" w:rsidR="007E13DE" w:rsidRDefault="007E13DE"/>
        </w:tc>
        <w:tc>
          <w:tcPr>
            <w:tcW w:w="0" w:type="auto"/>
            <w:vMerge/>
            <w:tcBorders>
              <w:top w:val="nil"/>
              <w:left w:val="nil"/>
              <w:bottom w:val="nil"/>
              <w:right w:val="nil"/>
            </w:tcBorders>
          </w:tcPr>
          <w:p w14:paraId="7B6482FA" w14:textId="77777777" w:rsidR="007E13DE" w:rsidRDefault="007E13DE"/>
        </w:tc>
      </w:tr>
      <w:tr w:rsidR="007E13DE" w14:paraId="66783152" w14:textId="77777777">
        <w:trPr>
          <w:trHeight w:val="2165"/>
        </w:trPr>
        <w:tc>
          <w:tcPr>
            <w:tcW w:w="5162" w:type="dxa"/>
            <w:tcBorders>
              <w:top w:val="single" w:sz="3" w:space="0" w:color="000000"/>
              <w:left w:val="single" w:sz="3" w:space="0" w:color="000000"/>
              <w:bottom w:val="single" w:sz="3" w:space="0" w:color="000000"/>
              <w:right w:val="single" w:sz="3" w:space="0" w:color="000000"/>
            </w:tcBorders>
          </w:tcPr>
          <w:p w14:paraId="0DE58572" w14:textId="77777777" w:rsidR="007E13DE" w:rsidRDefault="00000000">
            <w:pPr>
              <w:spacing w:after="0"/>
              <w:ind w:left="768"/>
            </w:pPr>
            <w:r>
              <w:rPr>
                <w:noProof/>
              </w:rPr>
              <w:drawing>
                <wp:inline distT="0" distB="0" distL="0" distR="0" wp14:anchorId="28AF019E" wp14:editId="5CDDC6DD">
                  <wp:extent cx="2191512" cy="1229868"/>
                  <wp:effectExtent l="0" t="0" r="0" b="0"/>
                  <wp:docPr id="613" name="Picture 613"/>
                  <wp:cNvGraphicFramePr/>
                  <a:graphic xmlns:a="http://schemas.openxmlformats.org/drawingml/2006/main">
                    <a:graphicData uri="http://schemas.openxmlformats.org/drawingml/2006/picture">
                      <pic:pic xmlns:pic="http://schemas.openxmlformats.org/drawingml/2006/picture">
                        <pic:nvPicPr>
                          <pic:cNvPr id="613" name="Picture 613"/>
                          <pic:cNvPicPr/>
                        </pic:nvPicPr>
                        <pic:blipFill>
                          <a:blip r:embed="rId7"/>
                          <a:stretch>
                            <a:fillRect/>
                          </a:stretch>
                        </pic:blipFill>
                        <pic:spPr>
                          <a:xfrm>
                            <a:off x="0" y="0"/>
                            <a:ext cx="2191512" cy="1229868"/>
                          </a:xfrm>
                          <a:prstGeom prst="rect">
                            <a:avLst/>
                          </a:prstGeom>
                        </pic:spPr>
                      </pic:pic>
                    </a:graphicData>
                  </a:graphic>
                </wp:inline>
              </w:drawing>
            </w:r>
          </w:p>
        </w:tc>
        <w:tc>
          <w:tcPr>
            <w:tcW w:w="0" w:type="auto"/>
            <w:vMerge/>
            <w:tcBorders>
              <w:top w:val="nil"/>
              <w:left w:val="single" w:sz="3" w:space="0" w:color="000000"/>
              <w:bottom w:val="nil"/>
              <w:right w:val="nil"/>
            </w:tcBorders>
          </w:tcPr>
          <w:p w14:paraId="393D30E5" w14:textId="77777777" w:rsidR="007E13DE" w:rsidRDefault="007E13DE"/>
        </w:tc>
        <w:tc>
          <w:tcPr>
            <w:tcW w:w="0" w:type="auto"/>
            <w:vMerge/>
            <w:tcBorders>
              <w:top w:val="nil"/>
              <w:left w:val="nil"/>
              <w:bottom w:val="nil"/>
              <w:right w:val="nil"/>
            </w:tcBorders>
          </w:tcPr>
          <w:p w14:paraId="7B8989CB" w14:textId="77777777" w:rsidR="007E13DE" w:rsidRDefault="007E13DE"/>
        </w:tc>
      </w:tr>
      <w:tr w:rsidR="007E13DE" w14:paraId="252A3F02"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2C090B4E" w14:textId="77777777" w:rsidR="007E13DE" w:rsidRDefault="00000000">
            <w:pPr>
              <w:spacing w:after="0"/>
              <w:ind w:right="14"/>
              <w:jc w:val="center"/>
            </w:pPr>
            <w:r>
              <w:rPr>
                <w:rFonts w:ascii="Times New Roman" w:eastAsia="Times New Roman" w:hAnsi="Times New Roman" w:cs="Times New Roman"/>
                <w:sz w:val="8"/>
              </w:rPr>
              <w:t>Figura 1 – Quantidade de unidades consumidoras conectadas na Rede Básica por intervalo do maior MUST contratado.</w:t>
            </w:r>
          </w:p>
        </w:tc>
        <w:tc>
          <w:tcPr>
            <w:tcW w:w="0" w:type="auto"/>
            <w:vMerge/>
            <w:tcBorders>
              <w:top w:val="nil"/>
              <w:left w:val="single" w:sz="3" w:space="0" w:color="000000"/>
              <w:bottom w:val="nil"/>
              <w:right w:val="nil"/>
            </w:tcBorders>
          </w:tcPr>
          <w:p w14:paraId="7203741E" w14:textId="77777777" w:rsidR="007E13DE" w:rsidRDefault="007E13DE"/>
        </w:tc>
        <w:tc>
          <w:tcPr>
            <w:tcW w:w="0" w:type="auto"/>
            <w:vMerge/>
            <w:tcBorders>
              <w:top w:val="nil"/>
              <w:left w:val="nil"/>
              <w:bottom w:val="nil"/>
              <w:right w:val="nil"/>
            </w:tcBorders>
          </w:tcPr>
          <w:p w14:paraId="098A995D" w14:textId="77777777" w:rsidR="007E13DE" w:rsidRDefault="007E13DE"/>
        </w:tc>
      </w:tr>
      <w:tr w:rsidR="007E13DE" w14:paraId="3ADAE99B"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0BFE85F" w14:textId="77777777" w:rsidR="007E13DE" w:rsidRDefault="00000000">
            <w:pPr>
              <w:spacing w:after="0"/>
              <w:ind w:left="2"/>
            </w:pPr>
            <w:r>
              <w:rPr>
                <w:rFonts w:ascii="Times New Roman" w:eastAsia="Times New Roman" w:hAnsi="Times New Roman" w:cs="Times New Roman"/>
                <w:sz w:val="8"/>
              </w:rPr>
              <w:t>31. Verifica-se pelos gráficos apresentados que a maior parte (95,89%) das unidades consumidoras apresentam MUST contratados inferiores a 200 MW. Observando os dados, verifica-se que apenas seis consumidores apresentam algum dos MUST contratados superiores a 200 MW, sendo eles apresentados na tabela a seguir.</w:t>
            </w:r>
          </w:p>
        </w:tc>
        <w:tc>
          <w:tcPr>
            <w:tcW w:w="0" w:type="auto"/>
            <w:vMerge/>
            <w:tcBorders>
              <w:top w:val="nil"/>
              <w:left w:val="single" w:sz="3" w:space="0" w:color="000000"/>
              <w:bottom w:val="nil"/>
              <w:right w:val="nil"/>
            </w:tcBorders>
          </w:tcPr>
          <w:p w14:paraId="3D426AA4" w14:textId="77777777" w:rsidR="007E13DE" w:rsidRDefault="007E13DE"/>
        </w:tc>
        <w:tc>
          <w:tcPr>
            <w:tcW w:w="0" w:type="auto"/>
            <w:vMerge/>
            <w:tcBorders>
              <w:top w:val="nil"/>
              <w:left w:val="nil"/>
              <w:bottom w:val="nil"/>
              <w:right w:val="nil"/>
            </w:tcBorders>
          </w:tcPr>
          <w:p w14:paraId="3801DF29" w14:textId="77777777" w:rsidR="007E13DE" w:rsidRDefault="007E13DE"/>
        </w:tc>
      </w:tr>
      <w:tr w:rsidR="007E13DE" w14:paraId="2A075850"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B40C49C" w14:textId="77777777" w:rsidR="007E13DE" w:rsidRDefault="00000000">
            <w:pPr>
              <w:spacing w:after="0"/>
              <w:jc w:val="center"/>
            </w:pPr>
            <w:r>
              <w:rPr>
                <w:rFonts w:ascii="Times New Roman" w:eastAsia="Times New Roman" w:hAnsi="Times New Roman" w:cs="Times New Roman"/>
                <w:sz w:val="8"/>
              </w:rPr>
              <w:t>Tabela 1 – Valor de MUST contratados para os horários de ponta e fora de ponta pelas seis maiores unidades consumidoras conectadas à Rede Básica.</w:t>
            </w:r>
          </w:p>
        </w:tc>
        <w:tc>
          <w:tcPr>
            <w:tcW w:w="0" w:type="auto"/>
            <w:vMerge/>
            <w:tcBorders>
              <w:top w:val="nil"/>
              <w:left w:val="single" w:sz="3" w:space="0" w:color="000000"/>
              <w:bottom w:val="nil"/>
              <w:right w:val="nil"/>
            </w:tcBorders>
          </w:tcPr>
          <w:p w14:paraId="7EC384B0" w14:textId="77777777" w:rsidR="007E13DE" w:rsidRDefault="007E13DE"/>
        </w:tc>
        <w:tc>
          <w:tcPr>
            <w:tcW w:w="0" w:type="auto"/>
            <w:vMerge/>
            <w:tcBorders>
              <w:top w:val="nil"/>
              <w:left w:val="nil"/>
              <w:bottom w:val="nil"/>
              <w:right w:val="nil"/>
            </w:tcBorders>
          </w:tcPr>
          <w:p w14:paraId="2DC6430F" w14:textId="77777777" w:rsidR="007E13DE" w:rsidRDefault="007E13DE"/>
        </w:tc>
      </w:tr>
      <w:tr w:rsidR="007E13DE" w14:paraId="43CA6AE7" w14:textId="77777777">
        <w:trPr>
          <w:trHeight w:val="1073"/>
        </w:trPr>
        <w:tc>
          <w:tcPr>
            <w:tcW w:w="5162" w:type="dxa"/>
            <w:tcBorders>
              <w:top w:val="single" w:sz="3" w:space="0" w:color="000000"/>
              <w:left w:val="single" w:sz="3" w:space="0" w:color="000000"/>
              <w:bottom w:val="single" w:sz="3" w:space="0" w:color="000000"/>
              <w:right w:val="single" w:sz="3" w:space="0" w:color="000000"/>
            </w:tcBorders>
          </w:tcPr>
          <w:p w14:paraId="76D3C1F0" w14:textId="77777777" w:rsidR="007E13DE" w:rsidRDefault="00000000">
            <w:pPr>
              <w:spacing w:after="0"/>
              <w:ind w:left="660"/>
            </w:pPr>
            <w:r>
              <w:rPr>
                <w:noProof/>
              </w:rPr>
              <w:drawing>
                <wp:inline distT="0" distB="0" distL="0" distR="0" wp14:anchorId="4322FC87" wp14:editId="303EA4A1">
                  <wp:extent cx="2668524" cy="573024"/>
                  <wp:effectExtent l="0" t="0" r="0" b="0"/>
                  <wp:docPr id="615" name="Picture 615"/>
                  <wp:cNvGraphicFramePr/>
                  <a:graphic xmlns:a="http://schemas.openxmlformats.org/drawingml/2006/main">
                    <a:graphicData uri="http://schemas.openxmlformats.org/drawingml/2006/picture">
                      <pic:pic xmlns:pic="http://schemas.openxmlformats.org/drawingml/2006/picture">
                        <pic:nvPicPr>
                          <pic:cNvPr id="615" name="Picture 615"/>
                          <pic:cNvPicPr/>
                        </pic:nvPicPr>
                        <pic:blipFill>
                          <a:blip r:embed="rId8"/>
                          <a:stretch>
                            <a:fillRect/>
                          </a:stretch>
                        </pic:blipFill>
                        <pic:spPr>
                          <a:xfrm>
                            <a:off x="0" y="0"/>
                            <a:ext cx="2668524" cy="573024"/>
                          </a:xfrm>
                          <a:prstGeom prst="rect">
                            <a:avLst/>
                          </a:prstGeom>
                        </pic:spPr>
                      </pic:pic>
                    </a:graphicData>
                  </a:graphic>
                </wp:inline>
              </w:drawing>
            </w:r>
          </w:p>
        </w:tc>
        <w:tc>
          <w:tcPr>
            <w:tcW w:w="0" w:type="auto"/>
            <w:vMerge/>
            <w:tcBorders>
              <w:top w:val="nil"/>
              <w:left w:val="single" w:sz="3" w:space="0" w:color="000000"/>
              <w:bottom w:val="single" w:sz="3" w:space="0" w:color="000000"/>
              <w:right w:val="nil"/>
            </w:tcBorders>
          </w:tcPr>
          <w:p w14:paraId="34C3FBF7" w14:textId="77777777" w:rsidR="007E13DE" w:rsidRDefault="007E13DE"/>
        </w:tc>
        <w:tc>
          <w:tcPr>
            <w:tcW w:w="0" w:type="auto"/>
            <w:vMerge/>
            <w:tcBorders>
              <w:top w:val="nil"/>
              <w:left w:val="nil"/>
              <w:bottom w:val="single" w:sz="3" w:space="0" w:color="000000"/>
              <w:right w:val="nil"/>
            </w:tcBorders>
          </w:tcPr>
          <w:p w14:paraId="5DA5FC3C" w14:textId="77777777" w:rsidR="007E13DE" w:rsidRDefault="007E13DE"/>
        </w:tc>
      </w:tr>
      <w:tr w:rsidR="007E13DE" w14:paraId="4D6ECCDC" w14:textId="77777777">
        <w:trPr>
          <w:trHeight w:val="2741"/>
        </w:trPr>
        <w:tc>
          <w:tcPr>
            <w:tcW w:w="5162" w:type="dxa"/>
            <w:tcBorders>
              <w:top w:val="single" w:sz="3" w:space="0" w:color="000000"/>
              <w:left w:val="single" w:sz="3" w:space="0" w:color="000000"/>
              <w:bottom w:val="single" w:sz="3" w:space="0" w:color="000000"/>
              <w:right w:val="single" w:sz="3" w:space="0" w:color="000000"/>
            </w:tcBorders>
            <w:vAlign w:val="center"/>
          </w:tcPr>
          <w:p w14:paraId="47740958" w14:textId="77777777" w:rsidR="007E13DE" w:rsidRDefault="00000000">
            <w:pPr>
              <w:spacing w:after="0"/>
              <w:ind w:left="2"/>
            </w:pPr>
            <w:r>
              <w:rPr>
                <w:rFonts w:ascii="Times New Roman" w:eastAsia="Times New Roman" w:hAnsi="Times New Roman" w:cs="Times New Roman"/>
                <w:sz w:val="8"/>
              </w:rPr>
              <w:t>32. Avaliando o MUST contratado no segmento Consumo, verifica-se que para o horário de ponta, as unidades consumidoras contrataram um total de 7,796 GW, representando 7,396% do MUST contratado e as distribuidoras contrataram um total de 97,606 GW, representando 92,604% do MUST contratado. Com relação aos encargos de uso pagos pelo segmento Consumo considerando a parcela relativa ao horário de ponta, as unidades consumidoras foram responsáveis pelo pagamento mensal de R$ 54.032.713,78, representando 7,66% dos encargos pagos e as distribuidoras foram responsáveis pelo pagamento mensal de R$ 651.395.429,94, representando 92,34% dos encargos pagos.</w:t>
            </w:r>
          </w:p>
        </w:tc>
        <w:tc>
          <w:tcPr>
            <w:tcW w:w="1205" w:type="dxa"/>
            <w:tcBorders>
              <w:top w:val="single" w:sz="3" w:space="0" w:color="000000"/>
              <w:left w:val="single" w:sz="3" w:space="0" w:color="000000"/>
              <w:bottom w:val="single" w:sz="3" w:space="0" w:color="000000"/>
              <w:right w:val="single" w:sz="3" w:space="0" w:color="000000"/>
            </w:tcBorders>
            <w:vAlign w:val="center"/>
          </w:tcPr>
          <w:p w14:paraId="49973E40"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7777D690" w14:textId="4A0BFB26" w:rsidR="007E13DE" w:rsidRDefault="00000000" w:rsidP="00BD1811">
            <w:pPr>
              <w:spacing w:after="11"/>
              <w:ind w:left="2"/>
              <w:jc w:val="both"/>
            </w:pPr>
            <w:r>
              <w:rPr>
                <w:rFonts w:ascii="Times New Roman" w:eastAsia="Times New Roman" w:hAnsi="Times New Roman" w:cs="Times New Roman"/>
                <w:sz w:val="8"/>
              </w:rPr>
              <w:t xml:space="preserve">Os consumidores regulados do ACR não podem ser onerados </w:t>
            </w:r>
            <w:r w:rsidR="00BD1811">
              <w:rPr>
                <w:rFonts w:ascii="Times New Roman" w:eastAsia="Times New Roman" w:hAnsi="Times New Roman" w:cs="Times New Roman"/>
                <w:sz w:val="8"/>
              </w:rPr>
              <w:t>por necessidades</w:t>
            </w:r>
            <w:r>
              <w:rPr>
                <w:rFonts w:ascii="Times New Roman" w:eastAsia="Times New Roman" w:hAnsi="Times New Roman" w:cs="Times New Roman"/>
                <w:sz w:val="8"/>
              </w:rPr>
              <w:t xml:space="preserve"> de geradores e consumidores de energias solar e eólica para o ACL. Os contratos dessas energias para o ACR                                foram assinados antes da expansão dos leilões de transmissão de 2023 e 2024. Se não </w:t>
            </w:r>
            <w:proofErr w:type="gramStart"/>
            <w:r>
              <w:rPr>
                <w:rFonts w:ascii="Times New Roman" w:eastAsia="Times New Roman" w:hAnsi="Times New Roman" w:cs="Times New Roman"/>
                <w:sz w:val="8"/>
              </w:rPr>
              <w:t>houvessem</w:t>
            </w:r>
            <w:proofErr w:type="gramEnd"/>
            <w:r>
              <w:rPr>
                <w:rFonts w:ascii="Times New Roman" w:eastAsia="Times New Roman" w:hAnsi="Times New Roman" w:cs="Times New Roman"/>
                <w:sz w:val="8"/>
              </w:rPr>
              <w:t xml:space="preserve"> linhas de transmissão disponíveis seria um impedimento à sua contratação. A restrição começou a existir em 2022 com a entrada acelerada de usinas UFV e </w:t>
            </w:r>
            <w:r w:rsidR="00BD1811">
              <w:rPr>
                <w:rFonts w:ascii="Times New Roman" w:eastAsia="Times New Roman" w:hAnsi="Times New Roman" w:cs="Times New Roman"/>
                <w:sz w:val="8"/>
              </w:rPr>
              <w:t>EOL implantadas</w:t>
            </w:r>
            <w:r>
              <w:rPr>
                <w:rFonts w:ascii="Times New Roman" w:eastAsia="Times New Roman" w:hAnsi="Times New Roman" w:cs="Times New Roman"/>
                <w:sz w:val="8"/>
              </w:rPr>
              <w:t xml:space="preserve"> para atender a abertura de mercado para o ACL. Os contratos anteriores têm que ter a prioridade de uso das redes de transmissão e não tem sentido sofrerem restrição. Além disso o ACR já está sendo penalizado pelo pagamento de 50% da TUSD e TUST ao ACL por essas fontes solares incentivadas. Em algumas regiões a MMGD, cuja fonte é eminentemente solar, também sobrecarrega as linhas de transmissão durante o dia, provocando o "</w:t>
            </w:r>
            <w:proofErr w:type="spellStart"/>
            <w:r>
              <w:rPr>
                <w:rFonts w:ascii="Times New Roman" w:eastAsia="Times New Roman" w:hAnsi="Times New Roman" w:cs="Times New Roman"/>
                <w:sz w:val="8"/>
              </w:rPr>
              <w:t>contraind</w:t>
            </w:r>
            <w:proofErr w:type="spellEnd"/>
            <w:r>
              <w:rPr>
                <w:rFonts w:ascii="Times New Roman" w:eastAsia="Times New Roman" w:hAnsi="Times New Roman" w:cs="Times New Roman"/>
                <w:sz w:val="8"/>
              </w:rPr>
              <w:t>-off". Nas tabelas abaixo são apresentados os valores outorgados e fiscalizados pela ANEEL bem como os volumes contratados no ACR da ENERGISA MS, extraídos da planilha SPARTA, com a data da última contratação:</w:t>
            </w:r>
          </w:p>
          <w:tbl>
            <w:tblPr>
              <w:tblStyle w:val="TableGrid"/>
              <w:tblW w:w="3116" w:type="dxa"/>
              <w:tblInd w:w="456" w:type="dxa"/>
              <w:tblCellMar>
                <w:top w:w="0" w:type="dxa"/>
                <w:left w:w="0" w:type="dxa"/>
                <w:bottom w:w="0" w:type="dxa"/>
                <w:right w:w="0" w:type="dxa"/>
              </w:tblCellMar>
              <w:tblLook w:val="04A0" w:firstRow="1" w:lastRow="0" w:firstColumn="1" w:lastColumn="0" w:noHBand="0" w:noVBand="1"/>
            </w:tblPr>
            <w:tblGrid>
              <w:gridCol w:w="1132"/>
              <w:gridCol w:w="10708"/>
            </w:tblGrid>
            <w:tr w:rsidR="007E13DE" w14:paraId="00B52EC2" w14:textId="77777777">
              <w:trPr>
                <w:trHeight w:val="1320"/>
              </w:trPr>
              <w:tc>
                <w:tcPr>
                  <w:tcW w:w="1246" w:type="dxa"/>
                  <w:tcBorders>
                    <w:top w:val="nil"/>
                    <w:left w:val="nil"/>
                    <w:bottom w:val="nil"/>
                    <w:right w:val="nil"/>
                  </w:tcBorders>
                </w:tcPr>
                <w:p w14:paraId="4B6F40D5" w14:textId="77777777" w:rsidR="007E13DE" w:rsidRDefault="00000000">
                  <w:pPr>
                    <w:spacing w:after="0"/>
                  </w:pPr>
                  <w:r>
                    <w:rPr>
                      <w:noProof/>
                    </w:rPr>
                    <w:drawing>
                      <wp:inline distT="0" distB="0" distL="0" distR="0" wp14:anchorId="6E3E894E" wp14:editId="702666DA">
                        <wp:extent cx="719328" cy="332232"/>
                        <wp:effectExtent l="0" t="0" r="0" b="0"/>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9"/>
                                <a:stretch>
                                  <a:fillRect/>
                                </a:stretch>
                              </pic:blipFill>
                              <pic:spPr>
                                <a:xfrm>
                                  <a:off x="0" y="0"/>
                                  <a:ext cx="719328" cy="332232"/>
                                </a:xfrm>
                                <a:prstGeom prst="rect">
                                  <a:avLst/>
                                </a:prstGeom>
                              </pic:spPr>
                            </pic:pic>
                          </a:graphicData>
                        </a:graphic>
                      </wp:inline>
                    </w:drawing>
                  </w:r>
                </w:p>
              </w:tc>
              <w:tc>
                <w:tcPr>
                  <w:tcW w:w="1871" w:type="dxa"/>
                  <w:tcBorders>
                    <w:top w:val="nil"/>
                    <w:left w:val="nil"/>
                    <w:bottom w:val="nil"/>
                    <w:right w:val="nil"/>
                  </w:tcBorders>
                </w:tcPr>
                <w:p w14:paraId="0617023A" w14:textId="77777777" w:rsidR="007E13DE" w:rsidRDefault="007E13DE">
                  <w:pPr>
                    <w:spacing w:after="0"/>
                    <w:ind w:left="-8837" w:right="10708"/>
                  </w:pPr>
                </w:p>
                <w:tbl>
                  <w:tblPr>
                    <w:tblStyle w:val="TableGrid"/>
                    <w:tblW w:w="1758" w:type="dxa"/>
                    <w:tblInd w:w="113" w:type="dxa"/>
                    <w:tblCellMar>
                      <w:top w:w="9" w:type="dxa"/>
                      <w:left w:w="19" w:type="dxa"/>
                      <w:bottom w:w="0" w:type="dxa"/>
                      <w:right w:w="15" w:type="dxa"/>
                    </w:tblCellMar>
                    <w:tblLook w:val="04A0" w:firstRow="1" w:lastRow="0" w:firstColumn="1" w:lastColumn="0" w:noHBand="0" w:noVBand="1"/>
                  </w:tblPr>
                  <w:tblGrid>
                    <w:gridCol w:w="605"/>
                    <w:gridCol w:w="547"/>
                    <w:gridCol w:w="606"/>
                  </w:tblGrid>
                  <w:tr w:rsidR="007E13DE" w14:paraId="561772A8" w14:textId="77777777">
                    <w:trPr>
                      <w:trHeight w:val="102"/>
                    </w:trPr>
                    <w:tc>
                      <w:tcPr>
                        <w:tcW w:w="605" w:type="dxa"/>
                        <w:vMerge w:val="restart"/>
                        <w:tcBorders>
                          <w:top w:val="single" w:sz="2" w:space="0" w:color="000000"/>
                          <w:left w:val="single" w:sz="2" w:space="0" w:color="000000"/>
                          <w:bottom w:val="single" w:sz="5" w:space="0" w:color="000000"/>
                          <w:right w:val="single" w:sz="4" w:space="0" w:color="000000"/>
                        </w:tcBorders>
                      </w:tcPr>
                      <w:p w14:paraId="3BBD0C30" w14:textId="77777777" w:rsidR="007E13DE" w:rsidRDefault="00000000">
                        <w:pPr>
                          <w:spacing w:after="0"/>
                          <w:ind w:left="120" w:hanging="22"/>
                        </w:pPr>
                        <w:r>
                          <w:rPr>
                            <w:rFonts w:ascii="Times New Roman" w:eastAsia="Times New Roman" w:hAnsi="Times New Roman" w:cs="Times New Roman"/>
                            <w:sz w:val="8"/>
                          </w:rPr>
                          <w:t xml:space="preserve"> Processos Tarifários</w:t>
                        </w:r>
                      </w:p>
                    </w:tc>
                    <w:tc>
                      <w:tcPr>
                        <w:tcW w:w="547" w:type="dxa"/>
                        <w:tcBorders>
                          <w:top w:val="single" w:sz="2" w:space="0" w:color="000000"/>
                          <w:left w:val="single" w:sz="4" w:space="0" w:color="000000"/>
                          <w:bottom w:val="single" w:sz="3" w:space="0" w:color="000000"/>
                          <w:right w:val="single" w:sz="4" w:space="0" w:color="000000"/>
                        </w:tcBorders>
                      </w:tcPr>
                      <w:p w14:paraId="5E897237" w14:textId="77777777" w:rsidR="007E13DE" w:rsidRDefault="00000000">
                        <w:pPr>
                          <w:spacing w:after="0"/>
                          <w:ind w:left="2"/>
                          <w:jc w:val="center"/>
                        </w:pPr>
                        <w:r>
                          <w:rPr>
                            <w:rFonts w:ascii="Times New Roman" w:eastAsia="Times New Roman" w:hAnsi="Times New Roman" w:cs="Times New Roman"/>
                            <w:sz w:val="8"/>
                          </w:rPr>
                          <w:t>Empresa</w:t>
                        </w:r>
                      </w:p>
                    </w:tc>
                    <w:tc>
                      <w:tcPr>
                        <w:tcW w:w="606" w:type="dxa"/>
                        <w:tcBorders>
                          <w:top w:val="single" w:sz="2" w:space="0" w:color="000000"/>
                          <w:left w:val="single" w:sz="4" w:space="0" w:color="000000"/>
                          <w:bottom w:val="single" w:sz="3" w:space="0" w:color="000000"/>
                          <w:right w:val="single" w:sz="5" w:space="0" w:color="000000"/>
                        </w:tcBorders>
                      </w:tcPr>
                      <w:p w14:paraId="59EF8D95" w14:textId="77777777" w:rsidR="007E13DE" w:rsidRDefault="00000000">
                        <w:pPr>
                          <w:spacing w:after="0"/>
                          <w:ind w:left="11"/>
                          <w:jc w:val="center"/>
                        </w:pPr>
                        <w:r>
                          <w:rPr>
                            <w:rFonts w:ascii="Times New Roman" w:eastAsia="Times New Roman" w:hAnsi="Times New Roman" w:cs="Times New Roman"/>
                            <w:sz w:val="8"/>
                          </w:rPr>
                          <w:t>EMS</w:t>
                        </w:r>
                      </w:p>
                    </w:tc>
                  </w:tr>
                  <w:tr w:rsidR="007E13DE" w14:paraId="78E064BA" w14:textId="77777777">
                    <w:trPr>
                      <w:trHeight w:val="103"/>
                    </w:trPr>
                    <w:tc>
                      <w:tcPr>
                        <w:tcW w:w="0" w:type="auto"/>
                        <w:vMerge/>
                        <w:tcBorders>
                          <w:top w:val="nil"/>
                          <w:left w:val="single" w:sz="2" w:space="0" w:color="000000"/>
                          <w:bottom w:val="nil"/>
                          <w:right w:val="single" w:sz="4" w:space="0" w:color="000000"/>
                        </w:tcBorders>
                      </w:tcPr>
                      <w:p w14:paraId="5C967597" w14:textId="77777777" w:rsidR="007E13DE" w:rsidRDefault="007E13DE"/>
                    </w:tc>
                    <w:tc>
                      <w:tcPr>
                        <w:tcW w:w="547" w:type="dxa"/>
                        <w:tcBorders>
                          <w:top w:val="single" w:sz="3" w:space="0" w:color="000000"/>
                          <w:left w:val="single" w:sz="4" w:space="0" w:color="000000"/>
                          <w:bottom w:val="single" w:sz="3" w:space="0" w:color="000000"/>
                          <w:right w:val="single" w:sz="4" w:space="0" w:color="000000"/>
                        </w:tcBorders>
                      </w:tcPr>
                      <w:p w14:paraId="132A048A" w14:textId="77777777" w:rsidR="007E13DE" w:rsidRDefault="00000000">
                        <w:pPr>
                          <w:spacing w:after="0"/>
                          <w:ind w:right="3"/>
                          <w:jc w:val="center"/>
                        </w:pPr>
                        <w:r>
                          <w:rPr>
                            <w:rFonts w:ascii="Times New Roman" w:eastAsia="Times New Roman" w:hAnsi="Times New Roman" w:cs="Times New Roman"/>
                            <w:sz w:val="8"/>
                          </w:rPr>
                          <w:t>Data</w:t>
                        </w:r>
                      </w:p>
                    </w:tc>
                    <w:tc>
                      <w:tcPr>
                        <w:tcW w:w="606" w:type="dxa"/>
                        <w:tcBorders>
                          <w:top w:val="single" w:sz="3" w:space="0" w:color="000000"/>
                          <w:left w:val="single" w:sz="4" w:space="0" w:color="000000"/>
                          <w:bottom w:val="single" w:sz="3" w:space="0" w:color="000000"/>
                          <w:right w:val="single" w:sz="5" w:space="0" w:color="000000"/>
                        </w:tcBorders>
                      </w:tcPr>
                      <w:p w14:paraId="4DFCDE13" w14:textId="77777777" w:rsidR="007E13DE" w:rsidRDefault="00000000">
                        <w:pPr>
                          <w:spacing w:after="0"/>
                          <w:ind w:left="4"/>
                          <w:jc w:val="center"/>
                        </w:pPr>
                        <w:r>
                          <w:rPr>
                            <w:rFonts w:ascii="Times New Roman" w:eastAsia="Times New Roman" w:hAnsi="Times New Roman" w:cs="Times New Roman"/>
                            <w:sz w:val="8"/>
                          </w:rPr>
                          <w:t>08/04/2024</w:t>
                        </w:r>
                      </w:p>
                    </w:tc>
                  </w:tr>
                  <w:tr w:rsidR="007E13DE" w14:paraId="5B04A2A2" w14:textId="77777777">
                    <w:trPr>
                      <w:trHeight w:val="109"/>
                    </w:trPr>
                    <w:tc>
                      <w:tcPr>
                        <w:tcW w:w="0" w:type="auto"/>
                        <w:vMerge/>
                        <w:tcBorders>
                          <w:top w:val="nil"/>
                          <w:left w:val="single" w:sz="2" w:space="0" w:color="000000"/>
                          <w:bottom w:val="single" w:sz="5" w:space="0" w:color="000000"/>
                          <w:right w:val="single" w:sz="4" w:space="0" w:color="000000"/>
                        </w:tcBorders>
                      </w:tcPr>
                      <w:p w14:paraId="53852E01" w14:textId="77777777" w:rsidR="007E13DE" w:rsidRDefault="007E13DE"/>
                    </w:tc>
                    <w:tc>
                      <w:tcPr>
                        <w:tcW w:w="547" w:type="dxa"/>
                        <w:tcBorders>
                          <w:top w:val="single" w:sz="3" w:space="0" w:color="000000"/>
                          <w:left w:val="single" w:sz="4" w:space="0" w:color="000000"/>
                          <w:bottom w:val="single" w:sz="5" w:space="0" w:color="000000"/>
                          <w:right w:val="single" w:sz="4" w:space="0" w:color="000000"/>
                        </w:tcBorders>
                      </w:tcPr>
                      <w:p w14:paraId="3742AEB6" w14:textId="77777777" w:rsidR="007E13DE" w:rsidRDefault="00000000">
                        <w:pPr>
                          <w:spacing w:after="0"/>
                          <w:ind w:right="1"/>
                          <w:jc w:val="center"/>
                        </w:pPr>
                        <w:r>
                          <w:rPr>
                            <w:rFonts w:ascii="Times New Roman" w:eastAsia="Times New Roman" w:hAnsi="Times New Roman" w:cs="Times New Roman"/>
                            <w:sz w:val="8"/>
                          </w:rPr>
                          <w:t>Processo</w:t>
                        </w:r>
                      </w:p>
                    </w:tc>
                    <w:tc>
                      <w:tcPr>
                        <w:tcW w:w="606" w:type="dxa"/>
                        <w:tcBorders>
                          <w:top w:val="single" w:sz="3" w:space="0" w:color="000000"/>
                          <w:left w:val="single" w:sz="4" w:space="0" w:color="000000"/>
                          <w:bottom w:val="single" w:sz="5" w:space="0" w:color="000000"/>
                          <w:right w:val="single" w:sz="5" w:space="0" w:color="000000"/>
                        </w:tcBorders>
                      </w:tcPr>
                      <w:p w14:paraId="14354780" w14:textId="77777777" w:rsidR="007E13DE" w:rsidRDefault="00000000">
                        <w:pPr>
                          <w:spacing w:after="0"/>
                          <w:ind w:left="8"/>
                          <w:jc w:val="center"/>
                        </w:pPr>
                        <w:r>
                          <w:rPr>
                            <w:rFonts w:ascii="Times New Roman" w:eastAsia="Times New Roman" w:hAnsi="Times New Roman" w:cs="Times New Roman"/>
                            <w:sz w:val="8"/>
                          </w:rPr>
                          <w:t>Reajuste</w:t>
                        </w:r>
                      </w:p>
                    </w:tc>
                  </w:tr>
                  <w:tr w:rsidR="007E13DE" w14:paraId="18857759" w14:textId="77777777">
                    <w:trPr>
                      <w:trHeight w:val="104"/>
                    </w:trPr>
                    <w:tc>
                      <w:tcPr>
                        <w:tcW w:w="605" w:type="dxa"/>
                        <w:vMerge w:val="restart"/>
                        <w:tcBorders>
                          <w:top w:val="single" w:sz="5" w:space="0" w:color="000000"/>
                          <w:left w:val="single" w:sz="2" w:space="0" w:color="000000"/>
                          <w:bottom w:val="single" w:sz="4" w:space="0" w:color="000000"/>
                          <w:right w:val="single" w:sz="4" w:space="0" w:color="000000"/>
                        </w:tcBorders>
                        <w:vAlign w:val="center"/>
                      </w:tcPr>
                      <w:p w14:paraId="5BE01656" w14:textId="77777777" w:rsidR="007E13DE" w:rsidRDefault="00000000">
                        <w:pPr>
                          <w:spacing w:after="6"/>
                          <w:ind w:right="4"/>
                          <w:jc w:val="center"/>
                        </w:pPr>
                        <w:r>
                          <w:rPr>
                            <w:rFonts w:ascii="Times New Roman" w:eastAsia="Times New Roman" w:hAnsi="Times New Roman" w:cs="Times New Roman"/>
                            <w:sz w:val="8"/>
                          </w:rPr>
                          <w:t xml:space="preserve">Contratos </w:t>
                        </w:r>
                      </w:p>
                      <w:p w14:paraId="3EC5DA40" w14:textId="77777777" w:rsidR="007E13DE" w:rsidRDefault="00000000">
                        <w:pPr>
                          <w:spacing w:after="6"/>
                          <w:ind w:right="3"/>
                          <w:jc w:val="center"/>
                        </w:pPr>
                        <w:r>
                          <w:rPr>
                            <w:rFonts w:ascii="Times New Roman" w:eastAsia="Times New Roman" w:hAnsi="Times New Roman" w:cs="Times New Roman"/>
                            <w:sz w:val="8"/>
                          </w:rPr>
                          <w:t xml:space="preserve">Energia por </w:t>
                        </w:r>
                      </w:p>
                      <w:p w14:paraId="4752B080" w14:textId="77777777" w:rsidR="007E13DE" w:rsidRDefault="00000000">
                        <w:pPr>
                          <w:spacing w:after="0"/>
                          <w:jc w:val="both"/>
                        </w:pPr>
                        <w:proofErr w:type="spellStart"/>
                        <w:r>
                          <w:rPr>
                            <w:rFonts w:ascii="Times New Roman" w:eastAsia="Times New Roman" w:hAnsi="Times New Roman" w:cs="Times New Roman"/>
                            <w:sz w:val="8"/>
                          </w:rPr>
                          <w:t>Disponi-bilidade</w:t>
                        </w:r>
                        <w:proofErr w:type="spellEnd"/>
                      </w:p>
                    </w:tc>
                    <w:tc>
                      <w:tcPr>
                        <w:tcW w:w="547" w:type="dxa"/>
                        <w:tcBorders>
                          <w:top w:val="single" w:sz="5" w:space="0" w:color="000000"/>
                          <w:left w:val="single" w:sz="4" w:space="0" w:color="000000"/>
                          <w:bottom w:val="single" w:sz="4" w:space="0" w:color="000000"/>
                          <w:right w:val="single" w:sz="4" w:space="0" w:color="000000"/>
                        </w:tcBorders>
                      </w:tcPr>
                      <w:p w14:paraId="4A4A03E1" w14:textId="77777777" w:rsidR="007E13DE" w:rsidRDefault="00000000">
                        <w:pPr>
                          <w:spacing w:after="0"/>
                          <w:ind w:left="4"/>
                          <w:jc w:val="center"/>
                        </w:pPr>
                        <w:r>
                          <w:rPr>
                            <w:rFonts w:ascii="Times New Roman" w:eastAsia="Times New Roman" w:hAnsi="Times New Roman" w:cs="Times New Roman"/>
                            <w:sz w:val="8"/>
                          </w:rPr>
                          <w:t>UFV MWh</w:t>
                        </w:r>
                      </w:p>
                    </w:tc>
                    <w:tc>
                      <w:tcPr>
                        <w:tcW w:w="606" w:type="dxa"/>
                        <w:tcBorders>
                          <w:top w:val="single" w:sz="5" w:space="0" w:color="000000"/>
                          <w:left w:val="single" w:sz="4" w:space="0" w:color="000000"/>
                          <w:bottom w:val="single" w:sz="4" w:space="0" w:color="000000"/>
                          <w:right w:val="single" w:sz="5" w:space="0" w:color="000000"/>
                        </w:tcBorders>
                      </w:tcPr>
                      <w:p w14:paraId="14839F5D" w14:textId="77777777" w:rsidR="007E13DE" w:rsidRDefault="00000000">
                        <w:pPr>
                          <w:spacing w:after="0"/>
                          <w:ind w:left="5"/>
                          <w:jc w:val="center"/>
                        </w:pPr>
                        <w:r>
                          <w:rPr>
                            <w:rFonts w:ascii="Times New Roman" w:eastAsia="Times New Roman" w:hAnsi="Times New Roman" w:cs="Times New Roman"/>
                            <w:sz w:val="8"/>
                          </w:rPr>
                          <w:t xml:space="preserve">                    80.473</w:t>
                        </w:r>
                      </w:p>
                    </w:tc>
                  </w:tr>
                  <w:tr w:rsidR="007E13DE" w14:paraId="6A819087" w14:textId="77777777">
                    <w:trPr>
                      <w:trHeight w:val="103"/>
                    </w:trPr>
                    <w:tc>
                      <w:tcPr>
                        <w:tcW w:w="0" w:type="auto"/>
                        <w:vMerge/>
                        <w:tcBorders>
                          <w:top w:val="nil"/>
                          <w:left w:val="single" w:sz="2" w:space="0" w:color="000000"/>
                          <w:bottom w:val="nil"/>
                          <w:right w:val="single" w:sz="4" w:space="0" w:color="000000"/>
                        </w:tcBorders>
                      </w:tcPr>
                      <w:p w14:paraId="53404C86" w14:textId="77777777" w:rsidR="007E13DE" w:rsidRDefault="007E13DE"/>
                    </w:tc>
                    <w:tc>
                      <w:tcPr>
                        <w:tcW w:w="547" w:type="dxa"/>
                        <w:tcBorders>
                          <w:top w:val="single" w:sz="4" w:space="0" w:color="000000"/>
                          <w:left w:val="single" w:sz="4" w:space="0" w:color="000000"/>
                          <w:bottom w:val="single" w:sz="4" w:space="0" w:color="000000"/>
                          <w:right w:val="single" w:sz="4" w:space="0" w:color="000000"/>
                        </w:tcBorders>
                      </w:tcPr>
                      <w:p w14:paraId="64C49D8C" w14:textId="77777777" w:rsidR="007E13DE" w:rsidRDefault="00000000">
                        <w:pPr>
                          <w:spacing w:after="0"/>
                          <w:ind w:right="3"/>
                          <w:jc w:val="center"/>
                        </w:pPr>
                        <w:r>
                          <w:rPr>
                            <w:rFonts w:ascii="Times New Roman" w:eastAsia="Times New Roman" w:hAnsi="Times New Roman" w:cs="Times New Roman"/>
                            <w:sz w:val="8"/>
                          </w:rPr>
                          <w:t>Valor</w:t>
                        </w:r>
                      </w:p>
                    </w:tc>
                    <w:tc>
                      <w:tcPr>
                        <w:tcW w:w="606" w:type="dxa"/>
                        <w:tcBorders>
                          <w:top w:val="single" w:sz="4" w:space="0" w:color="000000"/>
                          <w:left w:val="single" w:sz="4" w:space="0" w:color="000000"/>
                          <w:bottom w:val="single" w:sz="4" w:space="0" w:color="000000"/>
                          <w:right w:val="single" w:sz="5" w:space="0" w:color="000000"/>
                        </w:tcBorders>
                      </w:tcPr>
                      <w:p w14:paraId="65DD0123" w14:textId="77777777" w:rsidR="007E13DE" w:rsidRDefault="00000000">
                        <w:pPr>
                          <w:spacing w:after="0"/>
                          <w:ind w:left="29"/>
                        </w:pPr>
                        <w:r>
                          <w:rPr>
                            <w:rFonts w:ascii="Times New Roman" w:eastAsia="Times New Roman" w:hAnsi="Times New Roman" w:cs="Times New Roman"/>
                            <w:sz w:val="8"/>
                          </w:rPr>
                          <w:t xml:space="preserve">           12.694.057</w:t>
                        </w:r>
                      </w:p>
                    </w:tc>
                  </w:tr>
                  <w:tr w:rsidR="007E13DE" w14:paraId="45404677" w14:textId="77777777">
                    <w:trPr>
                      <w:trHeight w:val="108"/>
                    </w:trPr>
                    <w:tc>
                      <w:tcPr>
                        <w:tcW w:w="0" w:type="auto"/>
                        <w:vMerge/>
                        <w:tcBorders>
                          <w:top w:val="nil"/>
                          <w:left w:val="single" w:sz="2" w:space="0" w:color="000000"/>
                          <w:bottom w:val="nil"/>
                          <w:right w:val="single" w:sz="4" w:space="0" w:color="000000"/>
                        </w:tcBorders>
                      </w:tcPr>
                      <w:p w14:paraId="07926BB4" w14:textId="77777777" w:rsidR="007E13DE" w:rsidRDefault="007E13DE"/>
                    </w:tc>
                    <w:tc>
                      <w:tcPr>
                        <w:tcW w:w="547" w:type="dxa"/>
                        <w:tcBorders>
                          <w:top w:val="single" w:sz="4" w:space="0" w:color="000000"/>
                          <w:left w:val="single" w:sz="4" w:space="0" w:color="000000"/>
                          <w:bottom w:val="single" w:sz="4" w:space="0" w:color="000000"/>
                          <w:right w:val="single" w:sz="4" w:space="0" w:color="000000"/>
                        </w:tcBorders>
                      </w:tcPr>
                      <w:p w14:paraId="173A9802" w14:textId="77777777" w:rsidR="007E13DE" w:rsidRDefault="00000000">
                        <w:pPr>
                          <w:spacing w:after="0"/>
                          <w:ind w:right="13"/>
                          <w:jc w:val="center"/>
                        </w:pPr>
                        <w:r>
                          <w:rPr>
                            <w:rFonts w:ascii="Times New Roman" w:eastAsia="Times New Roman" w:hAnsi="Times New Roman" w:cs="Times New Roman"/>
                            <w:sz w:val="8"/>
                          </w:rPr>
                          <w:t xml:space="preserve">Data </w:t>
                        </w:r>
                      </w:p>
                    </w:tc>
                    <w:tc>
                      <w:tcPr>
                        <w:tcW w:w="606" w:type="dxa"/>
                        <w:tcBorders>
                          <w:top w:val="single" w:sz="4" w:space="0" w:color="000000"/>
                          <w:left w:val="single" w:sz="4" w:space="0" w:color="000000"/>
                          <w:bottom w:val="single" w:sz="4" w:space="0" w:color="000000"/>
                          <w:right w:val="single" w:sz="5" w:space="0" w:color="000000"/>
                        </w:tcBorders>
                      </w:tcPr>
                      <w:p w14:paraId="3DE6405F" w14:textId="77777777" w:rsidR="007E13DE" w:rsidRDefault="00000000">
                        <w:pPr>
                          <w:spacing w:after="0"/>
                          <w:ind w:left="5"/>
                          <w:jc w:val="center"/>
                        </w:pPr>
                        <w:r>
                          <w:rPr>
                            <w:rFonts w:ascii="Times New Roman" w:eastAsia="Times New Roman" w:hAnsi="Times New Roman" w:cs="Times New Roman"/>
                            <w:sz w:val="8"/>
                          </w:rPr>
                          <w:t>01/04/2018</w:t>
                        </w:r>
                      </w:p>
                    </w:tc>
                  </w:tr>
                  <w:tr w:rsidR="007E13DE" w14:paraId="77A6A9F2" w14:textId="77777777">
                    <w:trPr>
                      <w:trHeight w:val="103"/>
                    </w:trPr>
                    <w:tc>
                      <w:tcPr>
                        <w:tcW w:w="0" w:type="auto"/>
                        <w:vMerge/>
                        <w:tcBorders>
                          <w:top w:val="nil"/>
                          <w:left w:val="single" w:sz="2" w:space="0" w:color="000000"/>
                          <w:bottom w:val="nil"/>
                          <w:right w:val="single" w:sz="4" w:space="0" w:color="000000"/>
                        </w:tcBorders>
                      </w:tcPr>
                      <w:p w14:paraId="4DDC27C9" w14:textId="77777777" w:rsidR="007E13DE" w:rsidRDefault="007E13DE"/>
                    </w:tc>
                    <w:tc>
                      <w:tcPr>
                        <w:tcW w:w="547" w:type="dxa"/>
                        <w:tcBorders>
                          <w:top w:val="single" w:sz="4" w:space="0" w:color="000000"/>
                          <w:left w:val="single" w:sz="4" w:space="0" w:color="000000"/>
                          <w:bottom w:val="single" w:sz="3" w:space="0" w:color="000000"/>
                          <w:right w:val="single" w:sz="4" w:space="0" w:color="000000"/>
                        </w:tcBorders>
                      </w:tcPr>
                      <w:p w14:paraId="11EF1AB8" w14:textId="77777777" w:rsidR="007E13DE" w:rsidRDefault="00000000">
                        <w:pPr>
                          <w:spacing w:after="0"/>
                          <w:ind w:right="1"/>
                          <w:jc w:val="center"/>
                        </w:pPr>
                        <w:r>
                          <w:rPr>
                            <w:rFonts w:ascii="Times New Roman" w:eastAsia="Times New Roman" w:hAnsi="Times New Roman" w:cs="Times New Roman"/>
                            <w:sz w:val="8"/>
                          </w:rPr>
                          <w:t>EOL MWh</w:t>
                        </w:r>
                      </w:p>
                    </w:tc>
                    <w:tc>
                      <w:tcPr>
                        <w:tcW w:w="606" w:type="dxa"/>
                        <w:tcBorders>
                          <w:top w:val="single" w:sz="4" w:space="0" w:color="000000"/>
                          <w:left w:val="single" w:sz="4" w:space="0" w:color="000000"/>
                          <w:bottom w:val="single" w:sz="3" w:space="0" w:color="000000"/>
                          <w:right w:val="single" w:sz="5" w:space="0" w:color="000000"/>
                        </w:tcBorders>
                      </w:tcPr>
                      <w:p w14:paraId="1CE0D060" w14:textId="77777777" w:rsidR="007E13DE" w:rsidRDefault="00000000">
                        <w:pPr>
                          <w:spacing w:after="0"/>
                          <w:ind w:left="9"/>
                          <w:jc w:val="center"/>
                        </w:pPr>
                        <w:r>
                          <w:rPr>
                            <w:rFonts w:ascii="Times New Roman" w:eastAsia="Times New Roman" w:hAnsi="Times New Roman" w:cs="Times New Roman"/>
                            <w:sz w:val="8"/>
                          </w:rPr>
                          <w:t xml:space="preserve">                 730.909</w:t>
                        </w:r>
                      </w:p>
                    </w:tc>
                  </w:tr>
                  <w:tr w:rsidR="007E13DE" w14:paraId="5F4589AA" w14:textId="77777777">
                    <w:trPr>
                      <w:trHeight w:val="103"/>
                    </w:trPr>
                    <w:tc>
                      <w:tcPr>
                        <w:tcW w:w="0" w:type="auto"/>
                        <w:vMerge/>
                        <w:tcBorders>
                          <w:top w:val="nil"/>
                          <w:left w:val="single" w:sz="2" w:space="0" w:color="000000"/>
                          <w:bottom w:val="nil"/>
                          <w:right w:val="single" w:sz="4" w:space="0" w:color="000000"/>
                        </w:tcBorders>
                      </w:tcPr>
                      <w:p w14:paraId="4FD29629" w14:textId="77777777" w:rsidR="007E13DE" w:rsidRDefault="007E13DE"/>
                    </w:tc>
                    <w:tc>
                      <w:tcPr>
                        <w:tcW w:w="547" w:type="dxa"/>
                        <w:tcBorders>
                          <w:top w:val="single" w:sz="3" w:space="0" w:color="000000"/>
                          <w:left w:val="single" w:sz="4" w:space="0" w:color="000000"/>
                          <w:bottom w:val="single" w:sz="3" w:space="0" w:color="000000"/>
                          <w:right w:val="single" w:sz="4" w:space="0" w:color="000000"/>
                        </w:tcBorders>
                      </w:tcPr>
                      <w:p w14:paraId="5CD77670" w14:textId="77777777" w:rsidR="007E13DE" w:rsidRDefault="00000000">
                        <w:pPr>
                          <w:spacing w:after="0"/>
                          <w:ind w:left="4"/>
                          <w:jc w:val="center"/>
                        </w:pPr>
                        <w:r>
                          <w:rPr>
                            <w:rFonts w:ascii="Times New Roman" w:eastAsia="Times New Roman" w:hAnsi="Times New Roman" w:cs="Times New Roman"/>
                            <w:sz w:val="8"/>
                          </w:rPr>
                          <w:t>Valor R$</w:t>
                        </w:r>
                      </w:p>
                    </w:tc>
                    <w:tc>
                      <w:tcPr>
                        <w:tcW w:w="606" w:type="dxa"/>
                        <w:tcBorders>
                          <w:top w:val="single" w:sz="3" w:space="0" w:color="000000"/>
                          <w:left w:val="single" w:sz="4" w:space="0" w:color="000000"/>
                          <w:bottom w:val="single" w:sz="3" w:space="0" w:color="000000"/>
                          <w:right w:val="single" w:sz="5" w:space="0" w:color="000000"/>
                        </w:tcBorders>
                      </w:tcPr>
                      <w:p w14:paraId="50E794D5" w14:textId="77777777" w:rsidR="007E13DE" w:rsidRDefault="00000000">
                        <w:pPr>
                          <w:spacing w:after="0"/>
                          <w:ind w:left="29"/>
                        </w:pPr>
                        <w:r>
                          <w:rPr>
                            <w:rFonts w:ascii="Times New Roman" w:eastAsia="Times New Roman" w:hAnsi="Times New Roman" w:cs="Times New Roman"/>
                            <w:sz w:val="8"/>
                          </w:rPr>
                          <w:t xml:space="preserve">         152.627.039</w:t>
                        </w:r>
                      </w:p>
                    </w:tc>
                  </w:tr>
                  <w:tr w:rsidR="007E13DE" w14:paraId="0D13E9A2" w14:textId="77777777">
                    <w:trPr>
                      <w:trHeight w:val="108"/>
                    </w:trPr>
                    <w:tc>
                      <w:tcPr>
                        <w:tcW w:w="0" w:type="auto"/>
                        <w:vMerge/>
                        <w:tcBorders>
                          <w:top w:val="nil"/>
                          <w:left w:val="single" w:sz="2" w:space="0" w:color="000000"/>
                          <w:bottom w:val="single" w:sz="4" w:space="0" w:color="000000"/>
                          <w:right w:val="single" w:sz="4" w:space="0" w:color="000000"/>
                        </w:tcBorders>
                      </w:tcPr>
                      <w:p w14:paraId="09BF3A3E" w14:textId="77777777" w:rsidR="007E13DE" w:rsidRDefault="007E13DE"/>
                    </w:tc>
                    <w:tc>
                      <w:tcPr>
                        <w:tcW w:w="547" w:type="dxa"/>
                        <w:tcBorders>
                          <w:top w:val="single" w:sz="3" w:space="0" w:color="000000"/>
                          <w:left w:val="single" w:sz="4" w:space="0" w:color="000000"/>
                          <w:bottom w:val="single" w:sz="4" w:space="0" w:color="000000"/>
                          <w:right w:val="single" w:sz="4" w:space="0" w:color="000000"/>
                        </w:tcBorders>
                      </w:tcPr>
                      <w:p w14:paraId="082A1D31" w14:textId="77777777" w:rsidR="007E13DE" w:rsidRDefault="00000000">
                        <w:pPr>
                          <w:spacing w:after="0"/>
                          <w:ind w:right="3"/>
                          <w:jc w:val="center"/>
                        </w:pPr>
                        <w:r>
                          <w:rPr>
                            <w:rFonts w:ascii="Times New Roman" w:eastAsia="Times New Roman" w:hAnsi="Times New Roman" w:cs="Times New Roman"/>
                            <w:sz w:val="8"/>
                          </w:rPr>
                          <w:t>Data</w:t>
                        </w:r>
                      </w:p>
                    </w:tc>
                    <w:tc>
                      <w:tcPr>
                        <w:tcW w:w="606" w:type="dxa"/>
                        <w:tcBorders>
                          <w:top w:val="single" w:sz="3" w:space="0" w:color="000000"/>
                          <w:left w:val="single" w:sz="4" w:space="0" w:color="000000"/>
                          <w:bottom w:val="single" w:sz="4" w:space="0" w:color="000000"/>
                          <w:right w:val="single" w:sz="5" w:space="0" w:color="000000"/>
                        </w:tcBorders>
                      </w:tcPr>
                      <w:p w14:paraId="52AE8AE9" w14:textId="77777777" w:rsidR="007E13DE" w:rsidRDefault="00000000">
                        <w:pPr>
                          <w:spacing w:after="0"/>
                          <w:ind w:left="4"/>
                          <w:jc w:val="center"/>
                        </w:pPr>
                        <w:r>
                          <w:rPr>
                            <w:rFonts w:ascii="Times New Roman" w:eastAsia="Times New Roman" w:hAnsi="Times New Roman" w:cs="Times New Roman"/>
                            <w:sz w:val="8"/>
                          </w:rPr>
                          <w:t>01/04/2015</w:t>
                        </w:r>
                      </w:p>
                    </w:tc>
                  </w:tr>
                  <w:tr w:rsidR="007E13DE" w14:paraId="765AC489" w14:textId="77777777">
                    <w:trPr>
                      <w:trHeight w:val="109"/>
                    </w:trPr>
                    <w:tc>
                      <w:tcPr>
                        <w:tcW w:w="1152" w:type="dxa"/>
                        <w:gridSpan w:val="2"/>
                        <w:tcBorders>
                          <w:top w:val="single" w:sz="4" w:space="0" w:color="000000"/>
                          <w:left w:val="single" w:sz="2" w:space="0" w:color="000000"/>
                          <w:bottom w:val="single" w:sz="5" w:space="0" w:color="000000"/>
                          <w:right w:val="single" w:sz="4" w:space="0" w:color="000000"/>
                        </w:tcBorders>
                      </w:tcPr>
                      <w:p w14:paraId="4FF6AF49" w14:textId="77777777" w:rsidR="007E13DE" w:rsidRDefault="00000000">
                        <w:pPr>
                          <w:spacing w:after="0"/>
                          <w:ind w:right="3"/>
                          <w:jc w:val="center"/>
                        </w:pPr>
                        <w:r>
                          <w:rPr>
                            <w:rFonts w:ascii="Times New Roman" w:eastAsia="Times New Roman" w:hAnsi="Times New Roman" w:cs="Times New Roman"/>
                            <w:sz w:val="8"/>
                          </w:rPr>
                          <w:t>Sobrecontratação MWh</w:t>
                        </w:r>
                      </w:p>
                    </w:tc>
                    <w:tc>
                      <w:tcPr>
                        <w:tcW w:w="606" w:type="dxa"/>
                        <w:tcBorders>
                          <w:top w:val="single" w:sz="4" w:space="0" w:color="000000"/>
                          <w:left w:val="single" w:sz="4" w:space="0" w:color="000000"/>
                          <w:bottom w:val="single" w:sz="5" w:space="0" w:color="000000"/>
                          <w:right w:val="single" w:sz="5" w:space="0" w:color="000000"/>
                        </w:tcBorders>
                      </w:tcPr>
                      <w:p w14:paraId="45AF6FA4" w14:textId="77777777" w:rsidR="007E13DE" w:rsidRDefault="00000000">
                        <w:pPr>
                          <w:spacing w:after="0"/>
                          <w:ind w:left="9"/>
                          <w:jc w:val="center"/>
                        </w:pPr>
                        <w:r>
                          <w:rPr>
                            <w:rFonts w:ascii="Times New Roman" w:eastAsia="Times New Roman" w:hAnsi="Times New Roman" w:cs="Times New Roman"/>
                            <w:sz w:val="8"/>
                          </w:rPr>
                          <w:t xml:space="preserve">                 194.244</w:t>
                        </w:r>
                      </w:p>
                    </w:tc>
                  </w:tr>
                  <w:tr w:rsidR="007E13DE" w14:paraId="5DDFB0B6" w14:textId="77777777">
                    <w:trPr>
                      <w:trHeight w:val="108"/>
                    </w:trPr>
                    <w:tc>
                      <w:tcPr>
                        <w:tcW w:w="1152" w:type="dxa"/>
                        <w:gridSpan w:val="2"/>
                        <w:tcBorders>
                          <w:top w:val="single" w:sz="5" w:space="0" w:color="000000"/>
                          <w:left w:val="single" w:sz="2" w:space="0" w:color="000000"/>
                          <w:bottom w:val="single" w:sz="5" w:space="0" w:color="000000"/>
                          <w:right w:val="single" w:sz="4" w:space="0" w:color="000000"/>
                        </w:tcBorders>
                      </w:tcPr>
                      <w:p w14:paraId="1332B36F" w14:textId="77777777" w:rsidR="007E13DE" w:rsidRDefault="00000000">
                        <w:pPr>
                          <w:spacing w:after="0"/>
                          <w:ind w:right="3"/>
                          <w:jc w:val="center"/>
                        </w:pPr>
                        <w:r>
                          <w:rPr>
                            <w:rFonts w:ascii="Times New Roman" w:eastAsia="Times New Roman" w:hAnsi="Times New Roman" w:cs="Times New Roman"/>
                            <w:sz w:val="8"/>
                          </w:rPr>
                          <w:t>Energia Vendida MWh</w:t>
                        </w:r>
                      </w:p>
                    </w:tc>
                    <w:tc>
                      <w:tcPr>
                        <w:tcW w:w="606" w:type="dxa"/>
                        <w:tcBorders>
                          <w:top w:val="single" w:sz="5" w:space="0" w:color="000000"/>
                          <w:left w:val="single" w:sz="4" w:space="0" w:color="000000"/>
                          <w:bottom w:val="single" w:sz="5" w:space="0" w:color="000000"/>
                          <w:right w:val="single" w:sz="5" w:space="0" w:color="000000"/>
                        </w:tcBorders>
                      </w:tcPr>
                      <w:p w14:paraId="1B1A5FF3" w14:textId="77777777" w:rsidR="007E13DE" w:rsidRDefault="00000000">
                        <w:pPr>
                          <w:spacing w:after="0"/>
                          <w:ind w:left="24"/>
                        </w:pPr>
                        <w:r>
                          <w:rPr>
                            <w:rFonts w:ascii="Times New Roman" w:eastAsia="Times New Roman" w:hAnsi="Times New Roman" w:cs="Times New Roman"/>
                            <w:sz w:val="8"/>
                          </w:rPr>
                          <w:t xml:space="preserve">              4.303.693</w:t>
                        </w:r>
                      </w:p>
                    </w:tc>
                  </w:tr>
                  <w:tr w:rsidR="007E13DE" w14:paraId="2AB3E28F" w14:textId="77777777">
                    <w:trPr>
                      <w:trHeight w:val="109"/>
                    </w:trPr>
                    <w:tc>
                      <w:tcPr>
                        <w:tcW w:w="1152" w:type="dxa"/>
                        <w:gridSpan w:val="2"/>
                        <w:tcBorders>
                          <w:top w:val="single" w:sz="5" w:space="0" w:color="000000"/>
                          <w:left w:val="single" w:sz="2" w:space="0" w:color="000000"/>
                          <w:bottom w:val="single" w:sz="4" w:space="0" w:color="000000"/>
                          <w:right w:val="single" w:sz="4" w:space="0" w:color="000000"/>
                        </w:tcBorders>
                      </w:tcPr>
                      <w:p w14:paraId="698B223D" w14:textId="77777777" w:rsidR="007E13DE" w:rsidRDefault="00000000">
                        <w:pPr>
                          <w:spacing w:after="0"/>
                          <w:ind w:left="5"/>
                          <w:jc w:val="center"/>
                        </w:pPr>
                        <w:r>
                          <w:rPr>
                            <w:rFonts w:ascii="Times New Roman" w:eastAsia="Times New Roman" w:hAnsi="Times New Roman" w:cs="Times New Roman"/>
                            <w:sz w:val="8"/>
                          </w:rPr>
                          <w:t>%</w:t>
                        </w:r>
                      </w:p>
                    </w:tc>
                    <w:tc>
                      <w:tcPr>
                        <w:tcW w:w="606" w:type="dxa"/>
                        <w:tcBorders>
                          <w:top w:val="single" w:sz="5" w:space="0" w:color="000000"/>
                          <w:left w:val="single" w:sz="4" w:space="0" w:color="000000"/>
                          <w:bottom w:val="single" w:sz="4" w:space="0" w:color="000000"/>
                          <w:right w:val="single" w:sz="5" w:space="0" w:color="000000"/>
                        </w:tcBorders>
                      </w:tcPr>
                      <w:p w14:paraId="19AD5C1F" w14:textId="77777777" w:rsidR="007E13DE" w:rsidRDefault="00000000">
                        <w:pPr>
                          <w:spacing w:after="0"/>
                          <w:ind w:left="11"/>
                          <w:jc w:val="center"/>
                        </w:pPr>
                        <w:r>
                          <w:rPr>
                            <w:rFonts w:ascii="Times New Roman" w:eastAsia="Times New Roman" w:hAnsi="Times New Roman" w:cs="Times New Roman"/>
                            <w:sz w:val="8"/>
                          </w:rPr>
                          <w:t>4,5%</w:t>
                        </w:r>
                      </w:p>
                    </w:tc>
                  </w:tr>
                </w:tbl>
                <w:p w14:paraId="520764DC" w14:textId="77777777" w:rsidR="007E13DE" w:rsidRDefault="007E13DE"/>
              </w:tc>
            </w:tr>
          </w:tbl>
          <w:p w14:paraId="41CF6BFE" w14:textId="77777777" w:rsidR="007E13DE" w:rsidRDefault="007E13DE"/>
        </w:tc>
      </w:tr>
      <w:tr w:rsidR="007E13DE" w14:paraId="18D729D9"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2EB5F435" w14:textId="77777777" w:rsidR="007E13DE" w:rsidRDefault="00000000">
            <w:pPr>
              <w:spacing w:after="0"/>
              <w:ind w:left="2"/>
            </w:pPr>
            <w:r>
              <w:rPr>
                <w:rFonts w:ascii="Times New Roman" w:eastAsia="Times New Roman" w:hAnsi="Times New Roman" w:cs="Times New Roman"/>
                <w:sz w:val="8"/>
              </w:rPr>
              <w:t>33. Para o horário fora de ponta, as unidades consumidoras contrataram um total de 8,62 GW, representando 7,629% do MUST contratado para o segmento Consumo e as distribuidoras contrataram um total de 104,369 GW, representando 92,371% do MUST contratado para o segmento consumo. Com relação aos encargos de uso pagos pelo segmento Consumo considerando a parcela relativa ao horário fora de ponta, as unidades consumidoras foram responsáveis pelo pagamento mensal de R$ 59.304.613,65, representando 7,842% dos encargos pagos e as distribuidoras foram responsáveis pelo pagamento mensal de R$ 696.938.189,80, representando 92,158% dos encargos pagos.</w:t>
            </w:r>
          </w:p>
        </w:tc>
        <w:tc>
          <w:tcPr>
            <w:tcW w:w="1205" w:type="dxa"/>
            <w:vMerge w:val="restart"/>
            <w:tcBorders>
              <w:top w:val="single" w:sz="3" w:space="0" w:color="000000"/>
              <w:left w:val="single" w:sz="3" w:space="0" w:color="000000"/>
              <w:bottom w:val="single" w:sz="3" w:space="0" w:color="000000"/>
              <w:right w:val="nil"/>
            </w:tcBorders>
            <w:vAlign w:val="bottom"/>
          </w:tcPr>
          <w:p w14:paraId="15665865" w14:textId="77777777" w:rsidR="007E13DE" w:rsidRDefault="00000000">
            <w:pPr>
              <w:spacing w:after="0"/>
            </w:pPr>
            <w:r>
              <w:rPr>
                <w:rFonts w:ascii="Times New Roman" w:eastAsia="Times New Roman" w:hAnsi="Times New Roman" w:cs="Times New Roman"/>
                <w:sz w:val="7"/>
              </w:rPr>
              <w:t xml:space="preserve"> </w:t>
            </w:r>
          </w:p>
        </w:tc>
        <w:tc>
          <w:tcPr>
            <w:tcW w:w="3967" w:type="dxa"/>
            <w:vMerge w:val="restart"/>
            <w:tcBorders>
              <w:top w:val="single" w:sz="3" w:space="0" w:color="000000"/>
              <w:left w:val="nil"/>
              <w:bottom w:val="single" w:sz="3" w:space="0" w:color="000000"/>
              <w:right w:val="nil"/>
            </w:tcBorders>
          </w:tcPr>
          <w:p w14:paraId="1259C494" w14:textId="77777777" w:rsidR="007E13DE" w:rsidRDefault="007E13DE"/>
        </w:tc>
      </w:tr>
      <w:tr w:rsidR="007E13DE" w14:paraId="26FFF2CA"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16D39A2" w14:textId="77777777" w:rsidR="007E13DE" w:rsidRDefault="00000000">
            <w:pPr>
              <w:spacing w:after="0"/>
              <w:ind w:left="2"/>
            </w:pPr>
            <w:r>
              <w:rPr>
                <w:rFonts w:ascii="Times New Roman" w:eastAsia="Times New Roman" w:hAnsi="Times New Roman" w:cs="Times New Roman"/>
                <w:sz w:val="8"/>
              </w:rPr>
              <w:lastRenderedPageBreak/>
              <w:t>34. Considerando que os encargos mensais para o segmento Geração totalizaram R$ 1.462.771.520,70, verifica-se que os encargos mensais das unidades consumidoras conectadas na Rede Básica representaram apenas 3,876% dos encargos de uso pagos pelos segmentos Consumo e Geração combinados.</w:t>
            </w:r>
          </w:p>
        </w:tc>
        <w:tc>
          <w:tcPr>
            <w:tcW w:w="0" w:type="auto"/>
            <w:vMerge/>
            <w:tcBorders>
              <w:top w:val="nil"/>
              <w:left w:val="single" w:sz="3" w:space="0" w:color="000000"/>
              <w:bottom w:val="nil"/>
              <w:right w:val="nil"/>
            </w:tcBorders>
          </w:tcPr>
          <w:p w14:paraId="2648C07D" w14:textId="77777777" w:rsidR="007E13DE" w:rsidRDefault="007E13DE"/>
        </w:tc>
        <w:tc>
          <w:tcPr>
            <w:tcW w:w="0" w:type="auto"/>
            <w:vMerge/>
            <w:tcBorders>
              <w:top w:val="nil"/>
              <w:left w:val="nil"/>
              <w:bottom w:val="nil"/>
              <w:right w:val="nil"/>
            </w:tcBorders>
          </w:tcPr>
          <w:p w14:paraId="500D3D92" w14:textId="77777777" w:rsidR="007E13DE" w:rsidRDefault="007E13DE"/>
        </w:tc>
      </w:tr>
      <w:tr w:rsidR="007E13DE" w14:paraId="17944AD3"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441206AD" w14:textId="77777777" w:rsidR="007E13DE" w:rsidRDefault="00000000">
            <w:pPr>
              <w:spacing w:after="0"/>
              <w:ind w:left="2"/>
            </w:pPr>
            <w:r>
              <w:rPr>
                <w:rFonts w:ascii="Times New Roman" w:eastAsia="Times New Roman" w:hAnsi="Times New Roman" w:cs="Times New Roman"/>
                <w:sz w:val="8"/>
              </w:rPr>
              <w:t>35. A maior unidade consumidora conectada na Rede Básica contrata um MUST de 800 MW tanto para o horário de ponta quanto para o horário fora de ponta, pagando mensalmente R$ 5.548.000,00 de encargos de uso para cada um dos horários de contratação. Isto representa 0,751% dos encargos de uso para o segmento consumo e 0,375% dos encargos totais. Desta forma, a eventual descontratação desta unidade consumidora conectada na Rede Básica causaria impacto relativamente pequeno para os demais usuários do sistema de transmissão.</w:t>
            </w:r>
          </w:p>
        </w:tc>
        <w:tc>
          <w:tcPr>
            <w:tcW w:w="0" w:type="auto"/>
            <w:vMerge/>
            <w:tcBorders>
              <w:top w:val="nil"/>
              <w:left w:val="single" w:sz="3" w:space="0" w:color="000000"/>
              <w:bottom w:val="single" w:sz="3" w:space="0" w:color="000000"/>
              <w:right w:val="nil"/>
            </w:tcBorders>
          </w:tcPr>
          <w:p w14:paraId="0296E5C8" w14:textId="77777777" w:rsidR="007E13DE" w:rsidRDefault="007E13DE"/>
        </w:tc>
        <w:tc>
          <w:tcPr>
            <w:tcW w:w="0" w:type="auto"/>
            <w:vMerge/>
            <w:tcBorders>
              <w:top w:val="nil"/>
              <w:left w:val="nil"/>
              <w:bottom w:val="single" w:sz="3" w:space="0" w:color="000000"/>
              <w:right w:val="nil"/>
            </w:tcBorders>
          </w:tcPr>
          <w:p w14:paraId="71F9CF58" w14:textId="77777777" w:rsidR="007E13DE" w:rsidRDefault="007E13DE"/>
        </w:tc>
      </w:tr>
      <w:tr w:rsidR="007E13DE" w14:paraId="3D7F0D26"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F0741C4" w14:textId="77777777" w:rsidR="007E13DE" w:rsidRDefault="00000000">
            <w:pPr>
              <w:spacing w:after="0"/>
              <w:ind w:left="2"/>
            </w:pPr>
            <w:r>
              <w:rPr>
                <w:rFonts w:ascii="Times New Roman" w:eastAsia="Times New Roman" w:hAnsi="Times New Roman" w:cs="Times New Roman"/>
                <w:sz w:val="8"/>
              </w:rPr>
              <w:t>36. Conclui-se que, no cenário atual, as unidades consumidoras representam uma fatia minoritária dos usuários do sistema de transmissão, tanto coletivamente quanto individualmente, com impacto reduzido na tarifa e no custeio da rede de transmissão.</w:t>
            </w:r>
          </w:p>
        </w:tc>
        <w:tc>
          <w:tcPr>
            <w:tcW w:w="1205" w:type="dxa"/>
            <w:tcBorders>
              <w:top w:val="single" w:sz="3" w:space="0" w:color="000000"/>
              <w:left w:val="single" w:sz="3" w:space="0" w:color="000000"/>
              <w:bottom w:val="single" w:sz="3" w:space="0" w:color="000000"/>
              <w:right w:val="single" w:sz="3" w:space="0" w:color="000000"/>
            </w:tcBorders>
            <w:vAlign w:val="center"/>
          </w:tcPr>
          <w:p w14:paraId="4472D01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03A71FE4" w14:textId="77777777" w:rsidR="007E13DE" w:rsidRDefault="00000000">
            <w:pPr>
              <w:spacing w:after="0"/>
              <w:ind w:left="2" w:right="2"/>
            </w:pPr>
            <w:r>
              <w:rPr>
                <w:rFonts w:ascii="Times New Roman" w:eastAsia="Times New Roman" w:hAnsi="Times New Roman" w:cs="Times New Roman"/>
                <w:sz w:val="8"/>
              </w:rPr>
              <w:t>Os consumidores cativos representam uma grande parcela e ainda carregam significativos valores de subsídios para as fontes incentivadas que atendem ao ACL e aos consumidores do ACL que se ligam diretamente na Rede Básica.</w:t>
            </w:r>
          </w:p>
        </w:tc>
      </w:tr>
      <w:tr w:rsidR="007E13DE" w14:paraId="25429332"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4E2841CC" w14:textId="77777777" w:rsidR="007E13DE" w:rsidRDefault="00000000">
            <w:pPr>
              <w:spacing w:after="0"/>
              <w:ind w:left="5"/>
            </w:pPr>
            <w:r>
              <w:rPr>
                <w:rFonts w:ascii="Times New Roman" w:eastAsia="Times New Roman" w:hAnsi="Times New Roman" w:cs="Times New Roman"/>
                <w:sz w:val="11"/>
              </w:rPr>
              <w:t>III.4 – Perspectiva de Conexão de Novos Consumidores à Rede Básica</w:t>
            </w:r>
          </w:p>
        </w:tc>
        <w:tc>
          <w:tcPr>
            <w:tcW w:w="1205" w:type="dxa"/>
            <w:tcBorders>
              <w:top w:val="single" w:sz="3" w:space="0" w:color="000000"/>
              <w:left w:val="single" w:sz="3" w:space="0" w:color="000000"/>
              <w:bottom w:val="single" w:sz="3" w:space="0" w:color="000000"/>
              <w:right w:val="nil"/>
            </w:tcBorders>
          </w:tcPr>
          <w:p w14:paraId="79710486" w14:textId="77777777" w:rsidR="007E13DE" w:rsidRDefault="007E13DE"/>
        </w:tc>
        <w:tc>
          <w:tcPr>
            <w:tcW w:w="3967" w:type="dxa"/>
            <w:tcBorders>
              <w:top w:val="single" w:sz="3" w:space="0" w:color="000000"/>
              <w:left w:val="nil"/>
              <w:bottom w:val="single" w:sz="3" w:space="0" w:color="000000"/>
              <w:right w:val="nil"/>
            </w:tcBorders>
          </w:tcPr>
          <w:p w14:paraId="7FC78B93" w14:textId="77777777" w:rsidR="007E13DE" w:rsidRDefault="007E13DE"/>
        </w:tc>
      </w:tr>
      <w:tr w:rsidR="007E13DE" w14:paraId="18E32628"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0615A455" w14:textId="77777777" w:rsidR="007E13DE" w:rsidRDefault="00000000">
            <w:pPr>
              <w:spacing w:after="11"/>
              <w:ind w:left="2"/>
            </w:pPr>
            <w:r>
              <w:rPr>
                <w:rFonts w:ascii="Times New Roman" w:eastAsia="Times New Roman" w:hAnsi="Times New Roman" w:cs="Times New Roman"/>
                <w:sz w:val="8"/>
              </w:rPr>
              <w:t xml:space="preserve">37. Como informado anteriormente, o processo de acesso de um novo consumidor na Rede Básica inicia-se com o pedido de Portaria ao MME. </w:t>
            </w:r>
          </w:p>
          <w:p w14:paraId="074E0914" w14:textId="77777777" w:rsidR="007E13DE" w:rsidRDefault="00000000">
            <w:pPr>
              <w:spacing w:after="0"/>
              <w:ind w:left="2"/>
            </w:pPr>
            <w:r>
              <w:rPr>
                <w:rFonts w:ascii="Times New Roman" w:eastAsia="Times New Roman" w:hAnsi="Times New Roman" w:cs="Times New Roman"/>
                <w:sz w:val="8"/>
              </w:rPr>
              <w:t>Sendo assim, para prospectar a conexão de novos consumidores na Rede Básica, foi solicitado ao MME informações sobre as solicitações em andamento.</w:t>
            </w:r>
          </w:p>
        </w:tc>
        <w:tc>
          <w:tcPr>
            <w:tcW w:w="1205" w:type="dxa"/>
            <w:tcBorders>
              <w:top w:val="single" w:sz="3" w:space="0" w:color="000000"/>
              <w:left w:val="single" w:sz="3" w:space="0" w:color="000000"/>
              <w:bottom w:val="single" w:sz="3" w:space="0" w:color="000000"/>
              <w:right w:val="single" w:sz="3" w:space="0" w:color="000000"/>
            </w:tcBorders>
            <w:vAlign w:val="center"/>
          </w:tcPr>
          <w:p w14:paraId="57BF0095"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5586366F" w14:textId="7F27ACF6" w:rsidR="007E13DE" w:rsidRDefault="00000000">
            <w:pPr>
              <w:spacing w:after="0"/>
              <w:ind w:left="2" w:right="15"/>
            </w:pPr>
            <w:r>
              <w:rPr>
                <w:rFonts w:ascii="Times New Roman" w:eastAsia="Times New Roman" w:hAnsi="Times New Roman" w:cs="Times New Roman"/>
                <w:sz w:val="8"/>
              </w:rPr>
              <w:t xml:space="preserve">Os consumidores do ACL que se ligam diretamente na Rede Básica, que utilizarem de fontes incentivadas terão direito a </w:t>
            </w:r>
            <w:r w:rsidR="00E365D5">
              <w:rPr>
                <w:rFonts w:ascii="Times New Roman" w:eastAsia="Times New Roman" w:hAnsi="Times New Roman" w:cs="Times New Roman"/>
                <w:sz w:val="8"/>
              </w:rPr>
              <w:t>subsídio</w:t>
            </w:r>
            <w:r>
              <w:rPr>
                <w:rFonts w:ascii="Times New Roman" w:eastAsia="Times New Roman" w:hAnsi="Times New Roman" w:cs="Times New Roman"/>
                <w:sz w:val="8"/>
              </w:rPr>
              <w:t xml:space="preserve"> 50% de </w:t>
            </w:r>
            <w:r w:rsidR="00E365D5">
              <w:rPr>
                <w:rFonts w:ascii="Times New Roman" w:eastAsia="Times New Roman" w:hAnsi="Times New Roman" w:cs="Times New Roman"/>
                <w:sz w:val="8"/>
              </w:rPr>
              <w:t>subsídio</w:t>
            </w:r>
            <w:r>
              <w:rPr>
                <w:rFonts w:ascii="Times New Roman" w:eastAsia="Times New Roman" w:hAnsi="Times New Roman" w:cs="Times New Roman"/>
                <w:sz w:val="8"/>
              </w:rPr>
              <w:t xml:space="preserve"> na TUST, o que onera ainda mais aos consumidores cativos. Soluções para mitigar esses indesejáveis efeitos devem ser implementadas.</w:t>
            </w:r>
          </w:p>
        </w:tc>
      </w:tr>
      <w:tr w:rsidR="007E13DE" w14:paraId="575DAEDD"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5D3B7A3C" w14:textId="77777777" w:rsidR="007E13DE" w:rsidRDefault="00000000">
            <w:pPr>
              <w:spacing w:after="0"/>
              <w:ind w:left="2"/>
            </w:pPr>
            <w:r>
              <w:rPr>
                <w:rFonts w:ascii="Times New Roman" w:eastAsia="Times New Roman" w:hAnsi="Times New Roman" w:cs="Times New Roman"/>
                <w:sz w:val="8"/>
              </w:rPr>
              <w:t>38. O MME informou os projetos que já possuem Portaria emitida e os projetos que estão em fase de análise atualmente. Compilamos os dados em uma única tabela, apresentada a seguir.</w:t>
            </w:r>
          </w:p>
        </w:tc>
        <w:tc>
          <w:tcPr>
            <w:tcW w:w="5172" w:type="dxa"/>
            <w:gridSpan w:val="2"/>
            <w:tcBorders>
              <w:top w:val="single" w:sz="3" w:space="0" w:color="000000"/>
              <w:left w:val="single" w:sz="3" w:space="0" w:color="000000"/>
              <w:bottom w:val="nil"/>
              <w:right w:val="nil"/>
            </w:tcBorders>
          </w:tcPr>
          <w:p w14:paraId="4DCD485B" w14:textId="77777777" w:rsidR="007E13DE" w:rsidRDefault="007E13DE"/>
        </w:tc>
      </w:tr>
    </w:tbl>
    <w:p w14:paraId="400A2C07" w14:textId="77777777" w:rsidR="007E13DE" w:rsidRDefault="007E13DE">
      <w:pPr>
        <w:spacing w:after="0"/>
        <w:ind w:left="-1440" w:right="8626"/>
      </w:pPr>
    </w:p>
    <w:tbl>
      <w:tblPr>
        <w:tblStyle w:val="TableGrid"/>
        <w:tblW w:w="10334" w:type="dxa"/>
        <w:tblInd w:w="-690" w:type="dxa"/>
        <w:tblCellMar>
          <w:top w:w="0" w:type="dxa"/>
          <w:left w:w="18" w:type="dxa"/>
          <w:bottom w:w="0" w:type="dxa"/>
          <w:right w:w="2" w:type="dxa"/>
        </w:tblCellMar>
        <w:tblLook w:val="04A0" w:firstRow="1" w:lastRow="0" w:firstColumn="1" w:lastColumn="0" w:noHBand="0" w:noVBand="1"/>
      </w:tblPr>
      <w:tblGrid>
        <w:gridCol w:w="5162"/>
        <w:gridCol w:w="1205"/>
        <w:gridCol w:w="3967"/>
      </w:tblGrid>
      <w:tr w:rsidR="007E13DE" w14:paraId="1C0CCF10"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6147D6EB" w14:textId="77777777" w:rsidR="007E13DE" w:rsidRDefault="00000000">
            <w:pPr>
              <w:spacing w:after="0"/>
              <w:ind w:right="2"/>
              <w:jc w:val="center"/>
            </w:pPr>
            <w:r>
              <w:rPr>
                <w:rFonts w:ascii="Times New Roman" w:eastAsia="Times New Roman" w:hAnsi="Times New Roman" w:cs="Times New Roman"/>
                <w:color w:val="0000FF"/>
                <w:sz w:val="11"/>
              </w:rPr>
              <w:t>CONTRIBUIÇÃO REFERENTE À CONSULTA PÚBLICA Nº 023/2024</w:t>
            </w:r>
          </w:p>
        </w:tc>
      </w:tr>
      <w:tr w:rsidR="007E13DE" w14:paraId="1B9B487E"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32705C8D" w14:textId="77777777" w:rsidR="007E13DE" w:rsidRDefault="00000000">
            <w:pPr>
              <w:spacing w:after="0"/>
              <w:ind w:right="15"/>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32A6850C"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F38D740" w14:textId="77777777" w:rsidR="007E13DE" w:rsidRDefault="00000000">
            <w:pPr>
              <w:tabs>
                <w:tab w:val="center" w:pos="727"/>
                <w:tab w:val="center" w:pos="5157"/>
              </w:tabs>
              <w:spacing w:after="0"/>
            </w:pPr>
            <w:r>
              <w:tab/>
            </w:r>
            <w:r>
              <w:rPr>
                <w:noProof/>
              </w:rPr>
              <w:drawing>
                <wp:inline distT="0" distB="0" distL="0" distR="0" wp14:anchorId="0C449A3B" wp14:editId="3EDD859A">
                  <wp:extent cx="438912" cy="291084"/>
                  <wp:effectExtent l="0" t="0" r="0" b="0"/>
                  <wp:docPr id="762"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0A53A437"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394AEC2F" w14:textId="77777777" w:rsidR="007E13DE" w:rsidRDefault="00000000">
            <w:pPr>
              <w:spacing w:after="0"/>
              <w:ind w:right="5"/>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43FAD9CA"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45CF7CFD" w14:textId="77777777" w:rsidR="007E13DE" w:rsidRDefault="00000000">
            <w:pPr>
              <w:spacing w:after="0"/>
              <w:ind w:right="13"/>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5A3DD7F9"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0981F919" w14:textId="77777777" w:rsidR="007E13DE" w:rsidRDefault="00000000">
            <w:pPr>
              <w:spacing w:after="0"/>
              <w:ind w:right="17"/>
              <w:jc w:val="center"/>
            </w:pPr>
            <w:r>
              <w:rPr>
                <w:rFonts w:ascii="Times New Roman" w:eastAsia="Times New Roman" w:hAnsi="Times New Roman" w:cs="Times New Roman"/>
                <w:color w:val="0000FF"/>
                <w:sz w:val="10"/>
              </w:rPr>
              <w:t>CONTRIBUIÇÕES RECEBIDAS</w:t>
            </w:r>
          </w:p>
        </w:tc>
      </w:tr>
      <w:tr w:rsidR="007E13DE" w14:paraId="59DEE5E4"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11934586"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0871B53D" w14:textId="77777777">
        <w:trPr>
          <w:trHeight w:val="79"/>
        </w:trPr>
        <w:tc>
          <w:tcPr>
            <w:tcW w:w="5162" w:type="dxa"/>
            <w:tcBorders>
              <w:top w:val="double" w:sz="5" w:space="0" w:color="000000"/>
              <w:left w:val="single" w:sz="5" w:space="0" w:color="000000"/>
              <w:bottom w:val="double" w:sz="5" w:space="0" w:color="000000"/>
              <w:right w:val="single" w:sz="5" w:space="0" w:color="000000"/>
            </w:tcBorders>
          </w:tcPr>
          <w:p w14:paraId="57264F37" w14:textId="77777777" w:rsidR="007E13DE" w:rsidRDefault="00000000">
            <w:pPr>
              <w:spacing w:after="0"/>
              <w:ind w:right="15"/>
              <w:jc w:val="center"/>
            </w:pPr>
            <w:r>
              <w:rPr>
                <w:rFonts w:ascii="Times New Roman" w:eastAsia="Times New Roman" w:hAnsi="Times New Roman" w:cs="Times New Roman"/>
                <w:color w:val="FFFFFF"/>
                <w:sz w:val="10"/>
              </w:rPr>
              <w:t xml:space="preserve">TEXTO/ANEEL </w:t>
            </w:r>
          </w:p>
        </w:tc>
        <w:tc>
          <w:tcPr>
            <w:tcW w:w="1205" w:type="dxa"/>
            <w:vMerge w:val="restart"/>
            <w:tcBorders>
              <w:top w:val="double" w:sz="5" w:space="0" w:color="000000"/>
              <w:left w:val="single" w:sz="3" w:space="0" w:color="000000"/>
              <w:bottom w:val="single" w:sz="3" w:space="0" w:color="000000"/>
              <w:right w:val="nil"/>
            </w:tcBorders>
          </w:tcPr>
          <w:p w14:paraId="73B9E6B1" w14:textId="77777777" w:rsidR="007E13DE" w:rsidRDefault="00000000">
            <w:pPr>
              <w:spacing w:after="0"/>
              <w:ind w:right="15"/>
              <w:jc w:val="center"/>
            </w:pPr>
            <w:r>
              <w:rPr>
                <w:rFonts w:ascii="Times New Roman" w:eastAsia="Times New Roman" w:hAnsi="Times New Roman" w:cs="Times New Roman"/>
                <w:color w:val="FFFFFF"/>
                <w:sz w:val="8"/>
              </w:rPr>
              <w:t>TEXTO/INSTITUIÇÃO</w:t>
            </w:r>
          </w:p>
        </w:tc>
        <w:tc>
          <w:tcPr>
            <w:tcW w:w="3967" w:type="dxa"/>
            <w:vMerge w:val="restart"/>
            <w:tcBorders>
              <w:top w:val="double" w:sz="5" w:space="0" w:color="000000"/>
              <w:left w:val="nil"/>
              <w:bottom w:val="single" w:sz="3" w:space="0" w:color="000000"/>
              <w:right w:val="nil"/>
            </w:tcBorders>
          </w:tcPr>
          <w:p w14:paraId="3DD3FBDA" w14:textId="77777777" w:rsidR="007E13DE" w:rsidRDefault="00000000">
            <w:pPr>
              <w:spacing w:after="0"/>
              <w:ind w:right="15"/>
              <w:jc w:val="center"/>
            </w:pPr>
            <w:r>
              <w:rPr>
                <w:rFonts w:ascii="Times New Roman" w:eastAsia="Times New Roman" w:hAnsi="Times New Roman" w:cs="Times New Roman"/>
                <w:color w:val="FFFFFF"/>
                <w:sz w:val="8"/>
              </w:rPr>
              <w:t>JUSTIFICATIVA/INSTITUIÇÃO</w:t>
            </w:r>
          </w:p>
        </w:tc>
      </w:tr>
      <w:tr w:rsidR="007E13DE" w14:paraId="0C455EF4" w14:textId="77777777">
        <w:trPr>
          <w:trHeight w:val="113"/>
        </w:trPr>
        <w:tc>
          <w:tcPr>
            <w:tcW w:w="5162" w:type="dxa"/>
            <w:tcBorders>
              <w:top w:val="double" w:sz="5" w:space="0" w:color="000000"/>
              <w:left w:val="single" w:sz="3" w:space="0" w:color="000000"/>
              <w:bottom w:val="single" w:sz="3" w:space="0" w:color="000000"/>
              <w:right w:val="single" w:sz="3" w:space="0" w:color="000000"/>
            </w:tcBorders>
          </w:tcPr>
          <w:p w14:paraId="0D428CE0" w14:textId="77777777" w:rsidR="007E13DE" w:rsidRDefault="00000000">
            <w:pPr>
              <w:spacing w:after="0"/>
              <w:ind w:right="14"/>
              <w:jc w:val="center"/>
            </w:pPr>
            <w:r>
              <w:rPr>
                <w:rFonts w:ascii="Times New Roman" w:eastAsia="Times New Roman" w:hAnsi="Times New Roman" w:cs="Times New Roman"/>
                <w:sz w:val="8"/>
              </w:rPr>
              <w:t>Tabela 2 – Projetos de novas unidades consumidoras a serem conectadas à Rede Básica.</w:t>
            </w:r>
          </w:p>
        </w:tc>
        <w:tc>
          <w:tcPr>
            <w:tcW w:w="0" w:type="auto"/>
            <w:vMerge/>
            <w:tcBorders>
              <w:top w:val="nil"/>
              <w:left w:val="single" w:sz="3" w:space="0" w:color="000000"/>
              <w:bottom w:val="nil"/>
              <w:right w:val="nil"/>
            </w:tcBorders>
          </w:tcPr>
          <w:p w14:paraId="4D232B31" w14:textId="77777777" w:rsidR="007E13DE" w:rsidRDefault="007E13DE"/>
        </w:tc>
        <w:tc>
          <w:tcPr>
            <w:tcW w:w="0" w:type="auto"/>
            <w:vMerge/>
            <w:tcBorders>
              <w:top w:val="nil"/>
              <w:left w:val="nil"/>
              <w:bottom w:val="nil"/>
              <w:right w:val="nil"/>
            </w:tcBorders>
          </w:tcPr>
          <w:p w14:paraId="593CCB05" w14:textId="77777777" w:rsidR="007E13DE" w:rsidRDefault="007E13DE"/>
        </w:tc>
      </w:tr>
      <w:tr w:rsidR="007E13DE" w14:paraId="6163F2D9" w14:textId="77777777">
        <w:trPr>
          <w:trHeight w:val="869"/>
        </w:trPr>
        <w:tc>
          <w:tcPr>
            <w:tcW w:w="5162" w:type="dxa"/>
            <w:tcBorders>
              <w:top w:val="single" w:sz="3" w:space="0" w:color="000000"/>
              <w:left w:val="single" w:sz="3" w:space="0" w:color="000000"/>
              <w:bottom w:val="single" w:sz="3" w:space="0" w:color="000000"/>
              <w:right w:val="single" w:sz="3" w:space="0" w:color="000000"/>
            </w:tcBorders>
          </w:tcPr>
          <w:p w14:paraId="5C586BD7" w14:textId="77777777" w:rsidR="007E13DE" w:rsidRDefault="00000000">
            <w:pPr>
              <w:spacing w:after="0"/>
              <w:ind w:left="1390"/>
            </w:pPr>
            <w:r>
              <w:rPr>
                <w:noProof/>
              </w:rPr>
              <w:drawing>
                <wp:inline distT="0" distB="0" distL="0" distR="0" wp14:anchorId="535B3950" wp14:editId="6DB2A021">
                  <wp:extent cx="1964436" cy="513588"/>
                  <wp:effectExtent l="0" t="0" r="0" b="0"/>
                  <wp:docPr id="957" name="Picture 957"/>
                  <wp:cNvGraphicFramePr/>
                  <a:graphic xmlns:a="http://schemas.openxmlformats.org/drawingml/2006/main">
                    <a:graphicData uri="http://schemas.openxmlformats.org/drawingml/2006/picture">
                      <pic:pic xmlns:pic="http://schemas.openxmlformats.org/drawingml/2006/picture">
                        <pic:nvPicPr>
                          <pic:cNvPr id="957" name="Picture 957"/>
                          <pic:cNvPicPr/>
                        </pic:nvPicPr>
                        <pic:blipFill>
                          <a:blip r:embed="rId10"/>
                          <a:stretch>
                            <a:fillRect/>
                          </a:stretch>
                        </pic:blipFill>
                        <pic:spPr>
                          <a:xfrm>
                            <a:off x="0" y="0"/>
                            <a:ext cx="1964436" cy="513588"/>
                          </a:xfrm>
                          <a:prstGeom prst="rect">
                            <a:avLst/>
                          </a:prstGeom>
                        </pic:spPr>
                      </pic:pic>
                    </a:graphicData>
                  </a:graphic>
                </wp:inline>
              </w:drawing>
            </w:r>
          </w:p>
        </w:tc>
        <w:tc>
          <w:tcPr>
            <w:tcW w:w="0" w:type="auto"/>
            <w:vMerge/>
            <w:tcBorders>
              <w:top w:val="nil"/>
              <w:left w:val="single" w:sz="3" w:space="0" w:color="000000"/>
              <w:bottom w:val="nil"/>
              <w:right w:val="nil"/>
            </w:tcBorders>
          </w:tcPr>
          <w:p w14:paraId="472DEF98" w14:textId="77777777" w:rsidR="007E13DE" w:rsidRDefault="007E13DE"/>
        </w:tc>
        <w:tc>
          <w:tcPr>
            <w:tcW w:w="0" w:type="auto"/>
            <w:vMerge/>
            <w:tcBorders>
              <w:top w:val="nil"/>
              <w:left w:val="nil"/>
              <w:bottom w:val="nil"/>
              <w:right w:val="nil"/>
            </w:tcBorders>
          </w:tcPr>
          <w:p w14:paraId="484D87EA" w14:textId="77777777" w:rsidR="007E13DE" w:rsidRDefault="007E13DE"/>
        </w:tc>
      </w:tr>
      <w:tr w:rsidR="007E13DE" w14:paraId="5158AD19" w14:textId="77777777">
        <w:trPr>
          <w:trHeight w:val="2695"/>
        </w:trPr>
        <w:tc>
          <w:tcPr>
            <w:tcW w:w="5162" w:type="dxa"/>
            <w:tcBorders>
              <w:top w:val="single" w:sz="3" w:space="0" w:color="000000"/>
              <w:left w:val="single" w:sz="3" w:space="0" w:color="000000"/>
              <w:bottom w:val="single" w:sz="3" w:space="0" w:color="000000"/>
              <w:right w:val="single" w:sz="3" w:space="0" w:color="000000"/>
            </w:tcBorders>
          </w:tcPr>
          <w:p w14:paraId="52685CAD" w14:textId="77777777" w:rsidR="007E13DE" w:rsidRDefault="00000000">
            <w:pPr>
              <w:spacing w:after="0"/>
              <w:ind w:left="1390"/>
            </w:pPr>
            <w:r>
              <w:rPr>
                <w:noProof/>
              </w:rPr>
              <w:drawing>
                <wp:inline distT="0" distB="0" distL="0" distR="0" wp14:anchorId="78B60BAB" wp14:editId="7AEA9EB9">
                  <wp:extent cx="1965960" cy="1647444"/>
                  <wp:effectExtent l="0" t="0" r="0" b="0"/>
                  <wp:docPr id="959" name="Picture 959"/>
                  <wp:cNvGraphicFramePr/>
                  <a:graphic xmlns:a="http://schemas.openxmlformats.org/drawingml/2006/main">
                    <a:graphicData uri="http://schemas.openxmlformats.org/drawingml/2006/picture">
                      <pic:pic xmlns:pic="http://schemas.openxmlformats.org/drawingml/2006/picture">
                        <pic:nvPicPr>
                          <pic:cNvPr id="959" name="Picture 959"/>
                          <pic:cNvPicPr/>
                        </pic:nvPicPr>
                        <pic:blipFill>
                          <a:blip r:embed="rId11"/>
                          <a:stretch>
                            <a:fillRect/>
                          </a:stretch>
                        </pic:blipFill>
                        <pic:spPr>
                          <a:xfrm>
                            <a:off x="0" y="0"/>
                            <a:ext cx="1965960" cy="1647444"/>
                          </a:xfrm>
                          <a:prstGeom prst="rect">
                            <a:avLst/>
                          </a:prstGeom>
                        </pic:spPr>
                      </pic:pic>
                    </a:graphicData>
                  </a:graphic>
                </wp:inline>
              </w:drawing>
            </w:r>
          </w:p>
        </w:tc>
        <w:tc>
          <w:tcPr>
            <w:tcW w:w="0" w:type="auto"/>
            <w:vMerge/>
            <w:tcBorders>
              <w:top w:val="nil"/>
              <w:left w:val="single" w:sz="3" w:space="0" w:color="000000"/>
              <w:bottom w:val="nil"/>
              <w:right w:val="nil"/>
            </w:tcBorders>
          </w:tcPr>
          <w:p w14:paraId="08B83DA1" w14:textId="77777777" w:rsidR="007E13DE" w:rsidRDefault="007E13DE"/>
        </w:tc>
        <w:tc>
          <w:tcPr>
            <w:tcW w:w="0" w:type="auto"/>
            <w:vMerge/>
            <w:tcBorders>
              <w:top w:val="nil"/>
              <w:left w:val="nil"/>
              <w:bottom w:val="nil"/>
              <w:right w:val="nil"/>
            </w:tcBorders>
          </w:tcPr>
          <w:p w14:paraId="1F2108BB" w14:textId="77777777" w:rsidR="007E13DE" w:rsidRDefault="007E13DE"/>
        </w:tc>
      </w:tr>
      <w:tr w:rsidR="007E13DE" w14:paraId="764491FB"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1F576A4" w14:textId="77777777" w:rsidR="007E13DE" w:rsidRDefault="00000000">
            <w:pPr>
              <w:spacing w:after="0"/>
              <w:ind w:left="5"/>
            </w:pPr>
            <w:r>
              <w:rPr>
                <w:rFonts w:ascii="Times New Roman" w:eastAsia="Times New Roman" w:hAnsi="Times New Roman" w:cs="Times New Roman"/>
                <w:sz w:val="11"/>
              </w:rPr>
              <w:t>III.5 – Consequências da Atual Perspectiva de Conexão de Novos Consumidores à Rede Básica</w:t>
            </w:r>
          </w:p>
        </w:tc>
        <w:tc>
          <w:tcPr>
            <w:tcW w:w="0" w:type="auto"/>
            <w:vMerge/>
            <w:tcBorders>
              <w:top w:val="nil"/>
              <w:left w:val="single" w:sz="3" w:space="0" w:color="000000"/>
              <w:bottom w:val="single" w:sz="3" w:space="0" w:color="000000"/>
              <w:right w:val="nil"/>
            </w:tcBorders>
          </w:tcPr>
          <w:p w14:paraId="50D55442" w14:textId="77777777" w:rsidR="007E13DE" w:rsidRDefault="007E13DE"/>
        </w:tc>
        <w:tc>
          <w:tcPr>
            <w:tcW w:w="0" w:type="auto"/>
            <w:vMerge/>
            <w:tcBorders>
              <w:top w:val="nil"/>
              <w:left w:val="nil"/>
              <w:bottom w:val="single" w:sz="3" w:space="0" w:color="000000"/>
              <w:right w:val="nil"/>
            </w:tcBorders>
          </w:tcPr>
          <w:p w14:paraId="230E4A49" w14:textId="77777777" w:rsidR="007E13DE" w:rsidRDefault="007E13DE"/>
        </w:tc>
      </w:tr>
      <w:tr w:rsidR="007E13DE" w14:paraId="68A2BBB3"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3FA1449E" w14:textId="77777777" w:rsidR="007E13DE" w:rsidRDefault="00000000">
            <w:pPr>
              <w:spacing w:after="0"/>
              <w:ind w:left="2" w:right="12"/>
            </w:pPr>
            <w:r>
              <w:rPr>
                <w:rFonts w:ascii="Times New Roman" w:eastAsia="Times New Roman" w:hAnsi="Times New Roman" w:cs="Times New Roman"/>
                <w:sz w:val="8"/>
              </w:rPr>
              <w:t>39. Caso os projetos elencados na Tabela 2 sejam concretizados, verifica-se que haverá um adicional de MUST contratado para as unidades consumidoras de 610 MW em 2024, 18.340 MW em 2030 e 37.409 MW em 2037. Considerando o horário de ponta, isto representa um acréscimo no MUST de 7,825% em 2024, 235,249% em 2030 e 479,849% em 2037. Considerando o horário fora de ponta, isto representa um acréscimo no MUST de 7,077% em 2024, 212,761% em 2030 e 433,979% em 2037.</w:t>
            </w:r>
          </w:p>
        </w:tc>
        <w:tc>
          <w:tcPr>
            <w:tcW w:w="1205" w:type="dxa"/>
            <w:tcBorders>
              <w:top w:val="single" w:sz="3" w:space="0" w:color="000000"/>
              <w:left w:val="single" w:sz="3" w:space="0" w:color="000000"/>
              <w:bottom w:val="single" w:sz="3" w:space="0" w:color="000000"/>
              <w:right w:val="single" w:sz="3" w:space="0" w:color="000000"/>
            </w:tcBorders>
            <w:vAlign w:val="center"/>
          </w:tcPr>
          <w:p w14:paraId="28D233B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2317F1C4" w14:textId="52C8F222" w:rsidR="007E13DE" w:rsidRDefault="00000000">
            <w:pPr>
              <w:spacing w:after="0"/>
              <w:ind w:left="2" w:right="14"/>
            </w:pPr>
            <w:r>
              <w:rPr>
                <w:rFonts w:ascii="Times New Roman" w:eastAsia="Times New Roman" w:hAnsi="Times New Roman" w:cs="Times New Roman"/>
                <w:sz w:val="8"/>
              </w:rPr>
              <w:t xml:space="preserve">Os consumidores do ACL que se ligam diretamente na Rede Básica, que utilizarem de fontes incentivadas terão direito a </w:t>
            </w:r>
            <w:r w:rsidR="00E365D5">
              <w:rPr>
                <w:rFonts w:ascii="Times New Roman" w:eastAsia="Times New Roman" w:hAnsi="Times New Roman" w:cs="Times New Roman"/>
                <w:sz w:val="8"/>
              </w:rPr>
              <w:t>subsídio</w:t>
            </w:r>
            <w:r>
              <w:rPr>
                <w:rFonts w:ascii="Times New Roman" w:eastAsia="Times New Roman" w:hAnsi="Times New Roman" w:cs="Times New Roman"/>
                <w:sz w:val="8"/>
              </w:rPr>
              <w:t xml:space="preserve"> 50% de </w:t>
            </w:r>
            <w:r w:rsidR="00E365D5">
              <w:rPr>
                <w:rFonts w:ascii="Times New Roman" w:eastAsia="Times New Roman" w:hAnsi="Times New Roman" w:cs="Times New Roman"/>
                <w:sz w:val="8"/>
              </w:rPr>
              <w:t>subsídio</w:t>
            </w:r>
            <w:r>
              <w:rPr>
                <w:rFonts w:ascii="Times New Roman" w:eastAsia="Times New Roman" w:hAnsi="Times New Roman" w:cs="Times New Roman"/>
                <w:sz w:val="8"/>
              </w:rPr>
              <w:t xml:space="preserve"> na TUST, o que onera ainda mais aos consumidores cativos.</w:t>
            </w:r>
          </w:p>
        </w:tc>
      </w:tr>
      <w:tr w:rsidR="007E13DE" w14:paraId="471251C2"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4607B784" w14:textId="77777777" w:rsidR="007E13DE" w:rsidRDefault="00000000">
            <w:pPr>
              <w:spacing w:after="0"/>
              <w:ind w:left="2"/>
            </w:pPr>
            <w:r>
              <w:rPr>
                <w:rFonts w:ascii="Times New Roman" w:eastAsia="Times New Roman" w:hAnsi="Times New Roman" w:cs="Times New Roman"/>
                <w:sz w:val="8"/>
              </w:rPr>
              <w:t>40. Verifica-se uma concentração de projetos nos municípios de Caucaia e São Gonçalo do Amarante, que são adjacentes e localizados na região do Porto do Pecém, Estado do Ceará. Nesta região existem dois projetos de data centers, totalizando 876 MW de demanda em 2037, dois projetos de amônia verde, totalizando 3.800 MW de demanda em 2037, e dois projetos de hidrogênio verde, totalizando 1.822 MW de demanda em 2037.</w:t>
            </w:r>
          </w:p>
        </w:tc>
        <w:tc>
          <w:tcPr>
            <w:tcW w:w="1205" w:type="dxa"/>
            <w:tcBorders>
              <w:top w:val="single" w:sz="3" w:space="0" w:color="000000"/>
              <w:left w:val="single" w:sz="3" w:space="0" w:color="000000"/>
              <w:bottom w:val="single" w:sz="3" w:space="0" w:color="000000"/>
              <w:right w:val="nil"/>
            </w:tcBorders>
          </w:tcPr>
          <w:p w14:paraId="3118159A" w14:textId="77777777" w:rsidR="007E13DE" w:rsidRDefault="007E13DE"/>
        </w:tc>
        <w:tc>
          <w:tcPr>
            <w:tcW w:w="3967" w:type="dxa"/>
            <w:tcBorders>
              <w:top w:val="single" w:sz="3" w:space="0" w:color="000000"/>
              <w:left w:val="nil"/>
              <w:bottom w:val="single" w:sz="3" w:space="0" w:color="000000"/>
              <w:right w:val="nil"/>
            </w:tcBorders>
          </w:tcPr>
          <w:p w14:paraId="040175D6" w14:textId="77777777" w:rsidR="007E13DE" w:rsidRDefault="007E13DE"/>
        </w:tc>
      </w:tr>
      <w:tr w:rsidR="007E13DE" w14:paraId="2041B965"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4D7501A" w14:textId="77777777" w:rsidR="007E13DE" w:rsidRDefault="00000000">
            <w:pPr>
              <w:spacing w:after="0"/>
              <w:ind w:left="2"/>
            </w:pPr>
            <w:r>
              <w:rPr>
                <w:rFonts w:ascii="Times New Roman" w:eastAsia="Times New Roman" w:hAnsi="Times New Roman" w:cs="Times New Roman"/>
                <w:sz w:val="8"/>
              </w:rPr>
              <w:t>41. No total haverá uma concentração de 6.498 MW na região do Porto do Pecém previstos para 2037. Atualmente, não há capacidade na rede de transmissão para atendimento a todos os projetos, tendo em vista que esta carga representa mais de 30% da carga total da região nordeste.</w:t>
            </w:r>
          </w:p>
        </w:tc>
        <w:tc>
          <w:tcPr>
            <w:tcW w:w="1205" w:type="dxa"/>
            <w:tcBorders>
              <w:top w:val="single" w:sz="3" w:space="0" w:color="000000"/>
              <w:left w:val="single" w:sz="3" w:space="0" w:color="000000"/>
              <w:bottom w:val="single" w:sz="3" w:space="0" w:color="000000"/>
              <w:right w:val="single" w:sz="3" w:space="0" w:color="000000"/>
            </w:tcBorders>
            <w:vAlign w:val="center"/>
          </w:tcPr>
          <w:p w14:paraId="7328BA00"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7C7499EB" w14:textId="77777777" w:rsidR="007E13DE" w:rsidRDefault="00000000">
            <w:pPr>
              <w:spacing w:after="0"/>
              <w:ind w:left="2" w:right="117"/>
              <w:jc w:val="both"/>
            </w:pPr>
            <w:r>
              <w:rPr>
                <w:rFonts w:ascii="Times New Roman" w:eastAsia="Times New Roman" w:hAnsi="Times New Roman" w:cs="Times New Roman"/>
                <w:sz w:val="7"/>
              </w:rPr>
              <w:t>Os valores de RAP dos Leilões de Transmissão 1/2024, 2/2023 e 1/2023 que foram feitos para atender a expansão de geração solar e eólica para o mercado livre, implicarão no pagamento de RAP iniciando-se o pagamento a partir de 2028/2029; com RAP estimada de R$5,3 bilhões anuais.</w:t>
            </w:r>
          </w:p>
        </w:tc>
      </w:tr>
      <w:tr w:rsidR="007E13DE" w14:paraId="75B06985"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4721642" w14:textId="77777777" w:rsidR="007E13DE" w:rsidRDefault="00000000">
            <w:pPr>
              <w:spacing w:after="0"/>
              <w:ind w:left="2"/>
            </w:pPr>
            <w:r>
              <w:rPr>
                <w:rFonts w:ascii="Times New Roman" w:eastAsia="Times New Roman" w:hAnsi="Times New Roman" w:cs="Times New Roman"/>
                <w:sz w:val="8"/>
              </w:rPr>
              <w:t>42. Desta forma, a conexão de um projeto no sistema de transmissão da região do Porto de Pecém que eventualmente não se viabilize pode trazer prejuízos ao país, uma vez que ocupará uma margem que tem valor e poderia ser ocupada por outro projeto com viabilidade real.</w:t>
            </w:r>
          </w:p>
        </w:tc>
        <w:tc>
          <w:tcPr>
            <w:tcW w:w="1205" w:type="dxa"/>
            <w:tcBorders>
              <w:top w:val="single" w:sz="3" w:space="0" w:color="000000"/>
              <w:left w:val="single" w:sz="3" w:space="0" w:color="000000"/>
              <w:bottom w:val="single" w:sz="3" w:space="0" w:color="000000"/>
              <w:right w:val="nil"/>
            </w:tcBorders>
          </w:tcPr>
          <w:p w14:paraId="77CCAF26" w14:textId="77777777" w:rsidR="007E13DE" w:rsidRDefault="007E13DE"/>
        </w:tc>
        <w:tc>
          <w:tcPr>
            <w:tcW w:w="3967" w:type="dxa"/>
            <w:tcBorders>
              <w:top w:val="single" w:sz="3" w:space="0" w:color="000000"/>
              <w:left w:val="nil"/>
              <w:bottom w:val="single" w:sz="3" w:space="0" w:color="000000"/>
              <w:right w:val="nil"/>
            </w:tcBorders>
          </w:tcPr>
          <w:p w14:paraId="02684875" w14:textId="77777777" w:rsidR="007E13DE" w:rsidRDefault="007E13DE"/>
        </w:tc>
      </w:tr>
      <w:tr w:rsidR="007E13DE" w14:paraId="49A5933F"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0BCD1C4B" w14:textId="77777777" w:rsidR="007E13DE" w:rsidRDefault="00000000">
            <w:pPr>
              <w:spacing w:after="0"/>
              <w:ind w:left="2"/>
            </w:pPr>
            <w:r>
              <w:rPr>
                <w:rFonts w:ascii="Times New Roman" w:eastAsia="Times New Roman" w:hAnsi="Times New Roman" w:cs="Times New Roman"/>
                <w:sz w:val="8"/>
              </w:rPr>
              <w:t>43. Também se verifica uma concentração de projetos no município de Parnaíba, Estado do Piauí. Nesta região existem dois projetos de hidrogênio verde, sendo que um deles prevê uma carga de 11.400 MW em 2037 e o outro prevê uma carga de 15.410 MW em 2037, totalizando 26.810 MW de demanda em 2037. Atualmente, não há capacidade na rede de transmissão para atendimento de nenhum dos dois projetos individualmente, tendo em vista que cada um deles representa mais de 50% da carga total da região Nordeste.</w:t>
            </w:r>
          </w:p>
        </w:tc>
        <w:tc>
          <w:tcPr>
            <w:tcW w:w="1205" w:type="dxa"/>
            <w:tcBorders>
              <w:top w:val="single" w:sz="3" w:space="0" w:color="000000"/>
              <w:left w:val="single" w:sz="3" w:space="0" w:color="000000"/>
              <w:bottom w:val="single" w:sz="3" w:space="0" w:color="000000"/>
              <w:right w:val="single" w:sz="3" w:space="0" w:color="000000"/>
            </w:tcBorders>
            <w:vAlign w:val="center"/>
          </w:tcPr>
          <w:p w14:paraId="56C30EE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420CEAE" w14:textId="672B8E40" w:rsidR="007E13DE" w:rsidRDefault="00000000">
            <w:pPr>
              <w:spacing w:after="0"/>
              <w:ind w:left="2"/>
            </w:pPr>
            <w:r>
              <w:rPr>
                <w:rFonts w:ascii="Times New Roman" w:eastAsia="Times New Roman" w:hAnsi="Times New Roman" w:cs="Times New Roman"/>
                <w:sz w:val="8"/>
              </w:rPr>
              <w:t xml:space="preserve">Os valores de RAP dos Leilões de Transmissão 1/2024, 2/2023 e 1/2023 que foram feitos para atender a expansão de geração solar e eólica para o mercado livre, implicarão no pagamento de RAP iniciando-se o pagamento a partir de 2028/2029; com RAP estimada de R$5,3 bilhões anuais. Fica clara que a expansão é financiada pelos consumidores do ACR, que não deram causa, </w:t>
            </w:r>
            <w:r w:rsidR="00EF0140">
              <w:rPr>
                <w:rFonts w:ascii="Times New Roman" w:eastAsia="Times New Roman" w:hAnsi="Times New Roman" w:cs="Times New Roman"/>
                <w:sz w:val="8"/>
              </w:rPr>
              <w:t>além disso</w:t>
            </w:r>
            <w:r>
              <w:rPr>
                <w:rFonts w:ascii="Times New Roman" w:eastAsia="Times New Roman" w:hAnsi="Times New Roman" w:cs="Times New Roman"/>
                <w:sz w:val="8"/>
              </w:rPr>
              <w:t xml:space="preserve"> também serão onerados com subsídios de 50% da TUST.</w:t>
            </w:r>
          </w:p>
        </w:tc>
      </w:tr>
      <w:tr w:rsidR="007E13DE" w14:paraId="0D6CE9D7" w14:textId="77777777">
        <w:trPr>
          <w:trHeight w:val="434"/>
        </w:trPr>
        <w:tc>
          <w:tcPr>
            <w:tcW w:w="5162" w:type="dxa"/>
            <w:tcBorders>
              <w:top w:val="single" w:sz="3" w:space="0" w:color="000000"/>
              <w:left w:val="single" w:sz="3" w:space="0" w:color="000000"/>
              <w:bottom w:val="single" w:sz="3" w:space="0" w:color="000000"/>
              <w:right w:val="single" w:sz="3" w:space="0" w:color="000000"/>
            </w:tcBorders>
            <w:vAlign w:val="center"/>
          </w:tcPr>
          <w:p w14:paraId="700EADE7" w14:textId="77777777" w:rsidR="007E13DE" w:rsidRDefault="00000000">
            <w:pPr>
              <w:spacing w:after="0"/>
              <w:ind w:left="2"/>
            </w:pPr>
            <w:r>
              <w:rPr>
                <w:rFonts w:ascii="Times New Roman" w:eastAsia="Times New Roman" w:hAnsi="Times New Roman" w:cs="Times New Roman"/>
                <w:sz w:val="8"/>
              </w:rPr>
              <w:t>44. Dessa forma, a conexão de um projeto no sistema de transmissão da região do município de Parnaíba que eventualmente não se viabilize pode trazer prejuízos ao país, uma vez que ocupará uma margem que tem valor e poderia ser ocupada por outro projeto com viabilidade real.</w:t>
            </w:r>
          </w:p>
        </w:tc>
        <w:tc>
          <w:tcPr>
            <w:tcW w:w="1205" w:type="dxa"/>
            <w:tcBorders>
              <w:top w:val="single" w:sz="3" w:space="0" w:color="000000"/>
              <w:left w:val="single" w:sz="3" w:space="0" w:color="000000"/>
              <w:bottom w:val="single" w:sz="3" w:space="0" w:color="000000"/>
              <w:right w:val="single" w:sz="3" w:space="0" w:color="000000"/>
            </w:tcBorders>
            <w:vAlign w:val="center"/>
          </w:tcPr>
          <w:p w14:paraId="7E3264D6"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6E535190" w14:textId="25AAC642" w:rsidR="007E13DE" w:rsidRDefault="00000000">
            <w:pPr>
              <w:spacing w:after="0"/>
              <w:ind w:left="2"/>
            </w:pPr>
            <w:r>
              <w:rPr>
                <w:rFonts w:ascii="Times New Roman" w:eastAsia="Times New Roman" w:hAnsi="Times New Roman" w:cs="Times New Roman"/>
                <w:sz w:val="8"/>
              </w:rPr>
              <w:t>A lógica está perfeita e adequada, porém na prática, tem-se observado um aumento exponencial nos subsídios que são alocados aos consumidores cativos em benefício dos consumidores livres, no caso de aquisição de energia incentivada com desconto de 50% na TUST, foram R</w:t>
            </w:r>
            <w:r w:rsidR="00C303F0">
              <w:rPr>
                <w:rFonts w:ascii="Times New Roman" w:eastAsia="Times New Roman" w:hAnsi="Times New Roman" w:cs="Times New Roman"/>
                <w:sz w:val="8"/>
              </w:rPr>
              <w:t>$ 10</w:t>
            </w:r>
            <w:r>
              <w:rPr>
                <w:rFonts w:ascii="Times New Roman" w:eastAsia="Times New Roman" w:hAnsi="Times New Roman" w:cs="Times New Roman"/>
                <w:sz w:val="8"/>
              </w:rPr>
              <w:t xml:space="preserve">,7 bilhões em 2023, conforme </w:t>
            </w:r>
            <w:proofErr w:type="spellStart"/>
            <w:r>
              <w:rPr>
                <w:rFonts w:ascii="Times New Roman" w:eastAsia="Times New Roman" w:hAnsi="Times New Roman" w:cs="Times New Roman"/>
                <w:sz w:val="8"/>
              </w:rPr>
              <w:t>subsidiômetro</w:t>
            </w:r>
            <w:proofErr w:type="spellEnd"/>
            <w:r>
              <w:rPr>
                <w:rFonts w:ascii="Times New Roman" w:eastAsia="Times New Roman" w:hAnsi="Times New Roman" w:cs="Times New Roman"/>
                <w:sz w:val="8"/>
              </w:rPr>
              <w:t xml:space="preserve"> da Aneel.</w:t>
            </w:r>
          </w:p>
        </w:tc>
      </w:tr>
      <w:tr w:rsidR="007E13DE" w14:paraId="0C846D04"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26539F92" w14:textId="77777777" w:rsidR="007E13DE" w:rsidRDefault="00000000">
            <w:pPr>
              <w:spacing w:after="0" w:line="286" w:lineRule="auto"/>
              <w:ind w:left="2"/>
            </w:pPr>
            <w:r>
              <w:rPr>
                <w:rFonts w:ascii="Times New Roman" w:eastAsia="Times New Roman" w:hAnsi="Times New Roman" w:cs="Times New Roman"/>
                <w:sz w:val="8"/>
              </w:rPr>
              <w:t xml:space="preserve">45. Situação similar a relatada anteriormente ocorrerá na região formada pelos municípios de Barueri, Cabreúva, Franco da Rocha, Jundiaí, Paulínia, Santana do Parnaíba e São Paulo, Estado de São Paulo. Nesta região haverá uma concentração de demanda de potência de 1.438 </w:t>
            </w:r>
          </w:p>
          <w:p w14:paraId="711D5BEF" w14:textId="77777777" w:rsidR="007E13DE" w:rsidRDefault="00000000">
            <w:pPr>
              <w:spacing w:after="0"/>
              <w:ind w:left="2"/>
            </w:pPr>
            <w:r>
              <w:rPr>
                <w:rFonts w:ascii="Times New Roman" w:eastAsia="Times New Roman" w:hAnsi="Times New Roman" w:cs="Times New Roman"/>
                <w:sz w:val="8"/>
              </w:rPr>
              <w:t>MW.</w:t>
            </w:r>
          </w:p>
        </w:tc>
        <w:tc>
          <w:tcPr>
            <w:tcW w:w="1205" w:type="dxa"/>
            <w:tcBorders>
              <w:top w:val="single" w:sz="3" w:space="0" w:color="000000"/>
              <w:left w:val="single" w:sz="3" w:space="0" w:color="000000"/>
              <w:bottom w:val="single" w:sz="3" w:space="0" w:color="000000"/>
              <w:right w:val="single" w:sz="3" w:space="0" w:color="000000"/>
            </w:tcBorders>
            <w:vAlign w:val="center"/>
          </w:tcPr>
          <w:p w14:paraId="0E5CCD00"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9311F24" w14:textId="31929BB0" w:rsidR="007E13DE" w:rsidRDefault="00000000">
            <w:pPr>
              <w:spacing w:after="0"/>
              <w:ind w:left="2"/>
            </w:pPr>
            <w:r>
              <w:rPr>
                <w:rFonts w:ascii="Times New Roman" w:eastAsia="Times New Roman" w:hAnsi="Times New Roman" w:cs="Times New Roman"/>
                <w:sz w:val="8"/>
              </w:rPr>
              <w:t>A lógica está perfeita e adequada, porém na prática, tem-se observado um aumento exponencial nos subsídios que são alocados aos consumidores cativos em benefício dos consumidores livres, no caso de aquisição de energia incentivada com desconto de 50% na TUST, foram R</w:t>
            </w:r>
            <w:r w:rsidR="00C303F0">
              <w:rPr>
                <w:rFonts w:ascii="Times New Roman" w:eastAsia="Times New Roman" w:hAnsi="Times New Roman" w:cs="Times New Roman"/>
                <w:sz w:val="8"/>
              </w:rPr>
              <w:t>$ 10</w:t>
            </w:r>
            <w:r>
              <w:rPr>
                <w:rFonts w:ascii="Times New Roman" w:eastAsia="Times New Roman" w:hAnsi="Times New Roman" w:cs="Times New Roman"/>
                <w:sz w:val="8"/>
              </w:rPr>
              <w:t xml:space="preserve">,7 bilhões em 2023, conforme </w:t>
            </w:r>
            <w:proofErr w:type="spellStart"/>
            <w:r>
              <w:rPr>
                <w:rFonts w:ascii="Times New Roman" w:eastAsia="Times New Roman" w:hAnsi="Times New Roman" w:cs="Times New Roman"/>
                <w:sz w:val="8"/>
              </w:rPr>
              <w:t>subsidiômetro</w:t>
            </w:r>
            <w:proofErr w:type="spellEnd"/>
            <w:r>
              <w:rPr>
                <w:rFonts w:ascii="Times New Roman" w:eastAsia="Times New Roman" w:hAnsi="Times New Roman" w:cs="Times New Roman"/>
                <w:sz w:val="8"/>
              </w:rPr>
              <w:t xml:space="preserve"> da Aneel.</w:t>
            </w:r>
          </w:p>
        </w:tc>
      </w:tr>
      <w:tr w:rsidR="007E13DE" w14:paraId="54B7E4AA" w14:textId="77777777">
        <w:trPr>
          <w:trHeight w:val="1306"/>
        </w:trPr>
        <w:tc>
          <w:tcPr>
            <w:tcW w:w="5162" w:type="dxa"/>
            <w:tcBorders>
              <w:top w:val="single" w:sz="3" w:space="0" w:color="000000"/>
              <w:left w:val="single" w:sz="3" w:space="0" w:color="000000"/>
              <w:bottom w:val="single" w:sz="3" w:space="0" w:color="000000"/>
              <w:right w:val="single" w:sz="3" w:space="0" w:color="000000"/>
            </w:tcBorders>
            <w:vAlign w:val="center"/>
          </w:tcPr>
          <w:p w14:paraId="4F56EA20" w14:textId="77777777" w:rsidR="007E13DE" w:rsidRDefault="00000000">
            <w:pPr>
              <w:spacing w:after="0" w:line="286" w:lineRule="auto"/>
              <w:ind w:left="2"/>
            </w:pPr>
            <w:r>
              <w:rPr>
                <w:rFonts w:ascii="Times New Roman" w:eastAsia="Times New Roman" w:hAnsi="Times New Roman" w:cs="Times New Roman"/>
                <w:sz w:val="8"/>
              </w:rPr>
              <w:t xml:space="preserve">46. Além dos casos apontados anteriormente, é apontada, na Tabela 2, a existência de grandes unidades consumidoras requerendo a conexão à Rede Básica, a exemplo de projetos com potência superior a 200 MW, como Ecohydrogen-H2V, Projeto </w:t>
            </w:r>
            <w:proofErr w:type="spellStart"/>
            <w:r>
              <w:rPr>
                <w:rFonts w:ascii="Times New Roman" w:eastAsia="Times New Roman" w:hAnsi="Times New Roman" w:cs="Times New Roman"/>
                <w:sz w:val="8"/>
              </w:rPr>
              <w:t>Repotencioamento</w:t>
            </w:r>
            <w:proofErr w:type="spellEnd"/>
            <w:r>
              <w:rPr>
                <w:rFonts w:ascii="Times New Roman" w:eastAsia="Times New Roman" w:hAnsi="Times New Roman" w:cs="Times New Roman"/>
                <w:sz w:val="8"/>
              </w:rPr>
              <w:t xml:space="preserve"> LIASA, Minas Gerais Green </w:t>
            </w:r>
            <w:proofErr w:type="spellStart"/>
            <w:r>
              <w:rPr>
                <w:rFonts w:ascii="Times New Roman" w:eastAsia="Times New Roman" w:hAnsi="Times New Roman" w:cs="Times New Roman"/>
                <w:sz w:val="8"/>
              </w:rPr>
              <w:t>Fertilizer</w:t>
            </w:r>
            <w:proofErr w:type="spellEnd"/>
            <w:r>
              <w:rPr>
                <w:rFonts w:ascii="Times New Roman" w:eastAsia="Times New Roman" w:hAnsi="Times New Roman" w:cs="Times New Roman"/>
                <w:sz w:val="8"/>
              </w:rPr>
              <w:t xml:space="preserve"> Plant, Projeto </w:t>
            </w:r>
            <w:proofErr w:type="spellStart"/>
            <w:r>
              <w:rPr>
                <w:rFonts w:ascii="Times New Roman" w:eastAsia="Times New Roman" w:hAnsi="Times New Roman" w:cs="Times New Roman"/>
                <w:sz w:val="8"/>
              </w:rPr>
              <w:t>Sucuriú</w:t>
            </w:r>
            <w:proofErr w:type="spellEnd"/>
            <w:r>
              <w:rPr>
                <w:rFonts w:ascii="Times New Roman" w:eastAsia="Times New Roman" w:hAnsi="Times New Roman" w:cs="Times New Roman"/>
                <w:sz w:val="8"/>
              </w:rPr>
              <w:t xml:space="preserve">, </w:t>
            </w:r>
            <w:proofErr w:type="spellStart"/>
            <w:r>
              <w:rPr>
                <w:rFonts w:ascii="Times New Roman" w:eastAsia="Times New Roman" w:hAnsi="Times New Roman" w:cs="Times New Roman"/>
                <w:sz w:val="8"/>
              </w:rPr>
              <w:t>Smelter</w:t>
            </w:r>
            <w:proofErr w:type="spellEnd"/>
            <w:r>
              <w:rPr>
                <w:rFonts w:ascii="Times New Roman" w:eastAsia="Times New Roman" w:hAnsi="Times New Roman" w:cs="Times New Roman"/>
                <w:sz w:val="8"/>
              </w:rPr>
              <w:t xml:space="preserve"> Alumínio </w:t>
            </w:r>
            <w:proofErr w:type="spellStart"/>
            <w:r>
              <w:rPr>
                <w:rFonts w:ascii="Times New Roman" w:eastAsia="Times New Roman" w:hAnsi="Times New Roman" w:cs="Times New Roman"/>
                <w:sz w:val="8"/>
              </w:rPr>
              <w:t>Glencore</w:t>
            </w:r>
            <w:proofErr w:type="spellEnd"/>
            <w:r>
              <w:rPr>
                <w:rFonts w:ascii="Times New Roman" w:eastAsia="Times New Roman" w:hAnsi="Times New Roman" w:cs="Times New Roman"/>
                <w:sz w:val="8"/>
              </w:rPr>
              <w:t xml:space="preserve">, localizados nos municípios Camaçari/BA, Pirapora/MG, Uberaba/MG, </w:t>
            </w:r>
          </w:p>
          <w:p w14:paraId="5460A5E4" w14:textId="77777777" w:rsidR="007E13DE" w:rsidRDefault="00000000">
            <w:pPr>
              <w:spacing w:after="0"/>
              <w:ind w:left="2"/>
            </w:pPr>
            <w:r>
              <w:rPr>
                <w:rFonts w:ascii="Times New Roman" w:eastAsia="Times New Roman" w:hAnsi="Times New Roman" w:cs="Times New Roman"/>
                <w:sz w:val="8"/>
              </w:rPr>
              <w:t>Inocência/MS e Rio de Janeiro/RJ, respectivamente.</w:t>
            </w:r>
          </w:p>
        </w:tc>
        <w:tc>
          <w:tcPr>
            <w:tcW w:w="1205" w:type="dxa"/>
            <w:tcBorders>
              <w:top w:val="single" w:sz="3" w:space="0" w:color="000000"/>
              <w:left w:val="single" w:sz="3" w:space="0" w:color="000000"/>
              <w:bottom w:val="single" w:sz="3" w:space="0" w:color="000000"/>
              <w:right w:val="single" w:sz="3" w:space="0" w:color="000000"/>
            </w:tcBorders>
            <w:vAlign w:val="center"/>
          </w:tcPr>
          <w:p w14:paraId="1AC8F49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2A5D349B" w14:textId="56465BD9" w:rsidR="007E13DE" w:rsidRDefault="00000000">
            <w:pPr>
              <w:spacing w:after="0"/>
              <w:ind w:left="2"/>
            </w:pPr>
            <w:r>
              <w:rPr>
                <w:rFonts w:ascii="Times New Roman" w:eastAsia="Times New Roman" w:hAnsi="Times New Roman" w:cs="Times New Roman"/>
                <w:sz w:val="8"/>
              </w:rPr>
              <w:t xml:space="preserve">Mudança significativa na matriz foi a outorga pela Aneel de 146,37GW de usinas geradoras de fonte solar intermitente (UFV) e mais 56,27 GW de usinas geradoras de fonte eólica intermitente (EOL) em um total outorgado de 406,24 GW em todas as fontes, </w:t>
            </w:r>
            <w:r w:rsidR="00225BE0">
              <w:rPr>
                <w:rFonts w:ascii="Times New Roman" w:eastAsia="Times New Roman" w:hAnsi="Times New Roman" w:cs="Times New Roman"/>
                <w:sz w:val="8"/>
              </w:rPr>
              <w:t>sendo</w:t>
            </w:r>
            <w:r>
              <w:rPr>
                <w:rFonts w:ascii="Times New Roman" w:eastAsia="Times New Roman" w:hAnsi="Times New Roman" w:cs="Times New Roman"/>
                <w:sz w:val="8"/>
              </w:rPr>
              <w:t xml:space="preserve"> que, de construção ainda não iniciada, temos hoje (outubro/2024) no SIN  124,52 GW de UFV e 20,91 GW de EOL em um total de 147,91 GW de construção não iniciada. Um grave problema é que a as fontes intermitentes Solar e Eólica representarão 50% da matriz elétrica do SIN e estão sendo implantadas em sua grande maioria para atendimento ao mercado livre impondo o pagamento de significativos subsídios ao mercado cativo. Soma-se a tudo isso 33,7 GW (base 18/11/24) de geração solar distribuída na forma de compensação de energia (isento de encargos e custos de transmissão e distribuição) que também terá necessidade de potência na falta do sol. Entendemos que o MME deve concentrar esforços em alocar os custos da necessidade de potência aos consumidores que alocaram essas fontes notadamente os do mercado livre altamente concentrado nas fontes solar e eólica.</w:t>
            </w:r>
          </w:p>
        </w:tc>
      </w:tr>
      <w:tr w:rsidR="007E13DE" w14:paraId="3BC273C8"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2DCC3D1A" w14:textId="77777777" w:rsidR="007E13DE" w:rsidRDefault="00000000">
            <w:pPr>
              <w:spacing w:after="0"/>
              <w:ind w:left="2"/>
            </w:pPr>
            <w:r>
              <w:rPr>
                <w:rFonts w:ascii="Times New Roman" w:eastAsia="Times New Roman" w:hAnsi="Times New Roman" w:cs="Times New Roman"/>
                <w:sz w:val="8"/>
              </w:rPr>
              <w:t>47. Ainda de acordo com a Tabela 2, temos 18 projetos com Portaria já emitidas pelo MME. Consultando (em 27/06/2024) o sistema informatizado do ONS, verifica-se que uma parcela considerável destes projetos, totalizando 7, já solicitaram o Parecer de Acesso. Tendo em vista que os demais projetos ainda poderão solicitar o Parecer de Acesso, o atual cenário indica que a grande parte deles poderão assinar o CUST e se viabilizar.</w:t>
            </w:r>
          </w:p>
        </w:tc>
        <w:tc>
          <w:tcPr>
            <w:tcW w:w="1205" w:type="dxa"/>
            <w:vMerge w:val="restart"/>
            <w:tcBorders>
              <w:top w:val="single" w:sz="3" w:space="0" w:color="000000"/>
              <w:left w:val="single" w:sz="3" w:space="0" w:color="000000"/>
              <w:bottom w:val="single" w:sz="3" w:space="0" w:color="000000"/>
              <w:right w:val="nil"/>
            </w:tcBorders>
          </w:tcPr>
          <w:p w14:paraId="0F50E524" w14:textId="77777777" w:rsidR="007E13DE" w:rsidRDefault="007E13DE"/>
        </w:tc>
        <w:tc>
          <w:tcPr>
            <w:tcW w:w="3967" w:type="dxa"/>
            <w:vMerge w:val="restart"/>
            <w:tcBorders>
              <w:top w:val="single" w:sz="3" w:space="0" w:color="000000"/>
              <w:left w:val="nil"/>
              <w:bottom w:val="single" w:sz="3" w:space="0" w:color="000000"/>
              <w:right w:val="nil"/>
            </w:tcBorders>
          </w:tcPr>
          <w:p w14:paraId="2D734FA0" w14:textId="77777777" w:rsidR="007E13DE" w:rsidRDefault="007E13DE"/>
        </w:tc>
      </w:tr>
      <w:tr w:rsidR="007E13DE" w14:paraId="0FFA80E4"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DE0A483" w14:textId="77777777" w:rsidR="007E13DE" w:rsidRDefault="00000000">
            <w:pPr>
              <w:spacing w:after="0"/>
              <w:ind w:left="2"/>
            </w:pPr>
            <w:r>
              <w:rPr>
                <w:rFonts w:ascii="Times New Roman" w:eastAsia="Times New Roman" w:hAnsi="Times New Roman" w:cs="Times New Roman"/>
                <w:sz w:val="8"/>
              </w:rPr>
              <w:t>48. Há também a possibilidade dos projetos não se viabilizarem. Porém, neste caso, gerarão um custo administrativo desnecessário, o que deve ser evitado.</w:t>
            </w:r>
          </w:p>
        </w:tc>
        <w:tc>
          <w:tcPr>
            <w:tcW w:w="0" w:type="auto"/>
            <w:vMerge/>
            <w:tcBorders>
              <w:top w:val="nil"/>
              <w:left w:val="single" w:sz="3" w:space="0" w:color="000000"/>
              <w:bottom w:val="nil"/>
              <w:right w:val="nil"/>
            </w:tcBorders>
          </w:tcPr>
          <w:p w14:paraId="1E13FBCD" w14:textId="77777777" w:rsidR="007E13DE" w:rsidRDefault="007E13DE"/>
        </w:tc>
        <w:tc>
          <w:tcPr>
            <w:tcW w:w="0" w:type="auto"/>
            <w:vMerge/>
            <w:tcBorders>
              <w:top w:val="nil"/>
              <w:left w:val="nil"/>
              <w:bottom w:val="nil"/>
              <w:right w:val="nil"/>
            </w:tcBorders>
          </w:tcPr>
          <w:p w14:paraId="7FAFA283" w14:textId="77777777" w:rsidR="007E13DE" w:rsidRDefault="007E13DE"/>
        </w:tc>
      </w:tr>
      <w:tr w:rsidR="007E13DE" w14:paraId="208791CD"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182F63B4" w14:textId="77777777" w:rsidR="007E13DE" w:rsidRDefault="00000000">
            <w:pPr>
              <w:spacing w:after="0"/>
              <w:ind w:left="2" w:right="9"/>
            </w:pPr>
            <w:r>
              <w:rPr>
                <w:rFonts w:ascii="Times New Roman" w:eastAsia="Times New Roman" w:hAnsi="Times New Roman" w:cs="Times New Roman"/>
                <w:sz w:val="8"/>
              </w:rPr>
              <w:t>49. Sendo assim, verifica-se o surgimento dos seguintes problemas neste novo cenário de solicitações de conexão de unidades consumidoras na Rede Básica:</w:t>
            </w:r>
          </w:p>
        </w:tc>
        <w:tc>
          <w:tcPr>
            <w:tcW w:w="0" w:type="auto"/>
            <w:vMerge/>
            <w:tcBorders>
              <w:top w:val="nil"/>
              <w:left w:val="single" w:sz="3" w:space="0" w:color="000000"/>
              <w:bottom w:val="single" w:sz="3" w:space="0" w:color="000000"/>
              <w:right w:val="nil"/>
            </w:tcBorders>
          </w:tcPr>
          <w:p w14:paraId="6D109EB2" w14:textId="77777777" w:rsidR="007E13DE" w:rsidRDefault="007E13DE"/>
        </w:tc>
        <w:tc>
          <w:tcPr>
            <w:tcW w:w="0" w:type="auto"/>
            <w:vMerge/>
            <w:tcBorders>
              <w:top w:val="nil"/>
              <w:left w:val="nil"/>
              <w:bottom w:val="single" w:sz="3" w:space="0" w:color="000000"/>
              <w:right w:val="nil"/>
            </w:tcBorders>
          </w:tcPr>
          <w:p w14:paraId="31A4F63F" w14:textId="77777777" w:rsidR="007E13DE" w:rsidRDefault="007E13DE"/>
        </w:tc>
      </w:tr>
      <w:tr w:rsidR="007E13DE" w14:paraId="790BC7D3" w14:textId="77777777">
        <w:trPr>
          <w:trHeight w:val="2830"/>
        </w:trPr>
        <w:tc>
          <w:tcPr>
            <w:tcW w:w="5162" w:type="dxa"/>
            <w:tcBorders>
              <w:top w:val="single" w:sz="3" w:space="0" w:color="000000"/>
              <w:left w:val="single" w:sz="3" w:space="0" w:color="000000"/>
              <w:bottom w:val="single" w:sz="3" w:space="0" w:color="000000"/>
              <w:right w:val="single" w:sz="3" w:space="0" w:color="000000"/>
            </w:tcBorders>
            <w:vAlign w:val="center"/>
          </w:tcPr>
          <w:p w14:paraId="0BF120D2" w14:textId="77777777" w:rsidR="007E13DE" w:rsidRDefault="00000000">
            <w:pPr>
              <w:spacing w:after="0"/>
              <w:ind w:left="370" w:right="14"/>
            </w:pPr>
            <w:r>
              <w:rPr>
                <w:rFonts w:ascii="Times New Roman" w:eastAsia="Times New Roman" w:hAnsi="Times New Roman" w:cs="Times New Roman"/>
                <w:sz w:val="8"/>
              </w:rPr>
              <w:lastRenderedPageBreak/>
              <w:t>a) A conexão de novas unidades consumidoras de alta potência pode requerer ampliações significativas na rede de transmissão. A eventual desistência destas conexões pode deixar as referidas ampliações ociosas, as quais deverão ser remuneradas pelos demais usuários da rede de transmissão, gerando aumento tarifário desnecessário;</w:t>
            </w:r>
          </w:p>
        </w:tc>
        <w:tc>
          <w:tcPr>
            <w:tcW w:w="1205" w:type="dxa"/>
            <w:tcBorders>
              <w:top w:val="single" w:sz="3" w:space="0" w:color="000000"/>
              <w:left w:val="single" w:sz="3" w:space="0" w:color="000000"/>
              <w:bottom w:val="single" w:sz="3" w:space="0" w:color="000000"/>
              <w:right w:val="single" w:sz="3" w:space="0" w:color="000000"/>
            </w:tcBorders>
            <w:vAlign w:val="center"/>
          </w:tcPr>
          <w:p w14:paraId="3C84C65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4CBAF930" w14:textId="013A77E2" w:rsidR="007E13DE" w:rsidRDefault="00000000">
            <w:pPr>
              <w:spacing w:after="0" w:line="286" w:lineRule="auto"/>
              <w:ind w:left="2" w:right="11"/>
            </w:pPr>
            <w:r>
              <w:rPr>
                <w:rFonts w:ascii="Times New Roman" w:eastAsia="Times New Roman" w:hAnsi="Times New Roman" w:cs="Times New Roman"/>
                <w:sz w:val="8"/>
              </w:rPr>
              <w:t xml:space="preserve">Aneel outorgou mais </w:t>
            </w:r>
            <w:r w:rsidR="00915FCE">
              <w:rPr>
                <w:rFonts w:ascii="Times New Roman" w:eastAsia="Times New Roman" w:hAnsi="Times New Roman" w:cs="Times New Roman"/>
                <w:sz w:val="8"/>
              </w:rPr>
              <w:t>empreendimento</w:t>
            </w:r>
            <w:r>
              <w:rPr>
                <w:rFonts w:ascii="Times New Roman" w:eastAsia="Times New Roman" w:hAnsi="Times New Roman" w:cs="Times New Roman"/>
                <w:sz w:val="8"/>
              </w:rPr>
              <w:t xml:space="preserve"> do que a necessidade o Brasil, sendo que a situação atual é de Sobrecontratação generalizada, impondo custos adicionais aos consumidores cativos. Durante o ano de 2023 a Sobrecontratação, considerada nos processos tarifários de 27 distribuidoras, alcançou o montante de 35,5 bilhões de kWh, suficientes para atender ao consumo anual de 16 milhões de consumidores residenciais (consumo médio 186 kWh/mês).  A prorrogação dos prazos impostos pela MP 1212 não tem justificativa técnica já que a necessidade de energia nova, conforme o PDE 2034 é de 3,5% ao ano, resultando uma necessidade de crescimento anual, excluindo-se a MMGD, de 7,2 GW. Considerando-se o que está em construção e em construção não iniciada, esse montante já é suficiente para o atendimento das necessidades do Brasil para os próximos 23 anos. Os valores de RAP dos Leilões de Transmissão 1/2024, 2/2023 e 1/2023 que foram feitos para atender a expansão de geração solar e eólica para o mercado livre, implicarão no pagamento de RAP iniciando-se o pagamento a partir de 2028/2029; com RAP estimada de R$5,3 bilhões anuais. Fica clara que a expansão é financiada pelos consumidores do ACR, que não deram causa, </w:t>
            </w:r>
            <w:r w:rsidR="00915FCE">
              <w:rPr>
                <w:rFonts w:ascii="Times New Roman" w:eastAsia="Times New Roman" w:hAnsi="Times New Roman" w:cs="Times New Roman"/>
                <w:sz w:val="8"/>
              </w:rPr>
              <w:t>além disso</w:t>
            </w:r>
            <w:r>
              <w:rPr>
                <w:rFonts w:ascii="Times New Roman" w:eastAsia="Times New Roman" w:hAnsi="Times New Roman" w:cs="Times New Roman"/>
                <w:sz w:val="8"/>
              </w:rPr>
              <w:t xml:space="preserve"> também serão onerados com subsídios de 50% da TUST. No quadro abaixo a matriz elétrica brasileira.</w:t>
            </w:r>
          </w:p>
          <w:p w14:paraId="3BF675A3" w14:textId="77777777" w:rsidR="007E13DE" w:rsidRDefault="00000000">
            <w:pPr>
              <w:spacing w:after="0"/>
              <w:ind w:left="619"/>
            </w:pPr>
            <w:r>
              <w:rPr>
                <w:noProof/>
              </w:rPr>
              <w:drawing>
                <wp:inline distT="0" distB="0" distL="0" distR="0" wp14:anchorId="15D805F0" wp14:editId="1B687CDD">
                  <wp:extent cx="1833372" cy="787908"/>
                  <wp:effectExtent l="0" t="0" r="0" b="0"/>
                  <wp:docPr id="961" name="Picture 961"/>
                  <wp:cNvGraphicFramePr/>
                  <a:graphic xmlns:a="http://schemas.openxmlformats.org/drawingml/2006/main">
                    <a:graphicData uri="http://schemas.openxmlformats.org/drawingml/2006/picture">
                      <pic:pic xmlns:pic="http://schemas.openxmlformats.org/drawingml/2006/picture">
                        <pic:nvPicPr>
                          <pic:cNvPr id="961" name="Picture 961"/>
                          <pic:cNvPicPr/>
                        </pic:nvPicPr>
                        <pic:blipFill>
                          <a:blip r:embed="rId12"/>
                          <a:stretch>
                            <a:fillRect/>
                          </a:stretch>
                        </pic:blipFill>
                        <pic:spPr>
                          <a:xfrm>
                            <a:off x="0" y="0"/>
                            <a:ext cx="1833372" cy="787908"/>
                          </a:xfrm>
                          <a:prstGeom prst="rect">
                            <a:avLst/>
                          </a:prstGeom>
                        </pic:spPr>
                      </pic:pic>
                    </a:graphicData>
                  </a:graphic>
                </wp:inline>
              </w:drawing>
            </w:r>
          </w:p>
        </w:tc>
      </w:tr>
      <w:tr w:rsidR="007E13DE" w14:paraId="695B0322"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53FDF325" w14:textId="77777777" w:rsidR="007E13DE" w:rsidRDefault="00000000">
            <w:pPr>
              <w:spacing w:after="0"/>
              <w:ind w:left="370" w:right="9"/>
            </w:pPr>
            <w:r>
              <w:rPr>
                <w:rFonts w:ascii="Times New Roman" w:eastAsia="Times New Roman" w:hAnsi="Times New Roman" w:cs="Times New Roman"/>
                <w:sz w:val="8"/>
              </w:rPr>
              <w:t>b) Por não haver nenhum tipo de compromisso financeiro pelas unidades consumidoras para a solicitação de Parecer de Acesso e para a assinatura do CUST, poderá haver solicitações de Portaria ao MME, Parecer de Acesso ao ONS e Autorização à ANEEL de agentes que ainda não estão com os projetos maduros, podendo gerar um custo administrativo desnecessário;</w:t>
            </w:r>
          </w:p>
        </w:tc>
        <w:tc>
          <w:tcPr>
            <w:tcW w:w="5172" w:type="dxa"/>
            <w:gridSpan w:val="2"/>
            <w:vMerge w:val="restart"/>
            <w:tcBorders>
              <w:top w:val="single" w:sz="3" w:space="0" w:color="000000"/>
              <w:left w:val="single" w:sz="3" w:space="0" w:color="000000"/>
              <w:bottom w:val="nil"/>
              <w:right w:val="nil"/>
            </w:tcBorders>
          </w:tcPr>
          <w:p w14:paraId="5065B845" w14:textId="77777777" w:rsidR="007E13DE" w:rsidRDefault="007E13DE"/>
        </w:tc>
      </w:tr>
      <w:tr w:rsidR="007E13DE" w14:paraId="3D2D8885"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639427E9" w14:textId="77777777" w:rsidR="007E13DE" w:rsidRDefault="00000000">
            <w:pPr>
              <w:spacing w:after="0"/>
              <w:ind w:left="370"/>
            </w:pPr>
            <w:r>
              <w:rPr>
                <w:rFonts w:ascii="Times New Roman" w:eastAsia="Times New Roman" w:hAnsi="Times New Roman" w:cs="Times New Roman"/>
                <w:sz w:val="8"/>
              </w:rPr>
              <w:t>c) Devido a data de início de execução do CUST ser indicada pela unidade consumidora sem limitação de prazo, com possibilidade de postergação sem custos, sem limitação do prazo de postergação e pela quantidade de vezes que a unidade consumidora desejar, poderá haver reserva de uso da rede de transmissão de forma inapropriada, impedindo o acesso de outros usuários interessados; e</w:t>
            </w:r>
          </w:p>
        </w:tc>
        <w:tc>
          <w:tcPr>
            <w:tcW w:w="0" w:type="auto"/>
            <w:gridSpan w:val="2"/>
            <w:vMerge/>
            <w:tcBorders>
              <w:top w:val="nil"/>
              <w:left w:val="single" w:sz="3" w:space="0" w:color="000000"/>
              <w:bottom w:val="nil"/>
              <w:right w:val="nil"/>
            </w:tcBorders>
          </w:tcPr>
          <w:p w14:paraId="45CBF973" w14:textId="77777777" w:rsidR="007E13DE" w:rsidRDefault="007E13DE"/>
        </w:tc>
      </w:tr>
      <w:tr w:rsidR="007E13DE" w14:paraId="683D9B02"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6DB24B2" w14:textId="77777777" w:rsidR="007E13DE" w:rsidRDefault="00000000">
            <w:pPr>
              <w:spacing w:after="0"/>
              <w:ind w:left="370"/>
            </w:pPr>
            <w:r>
              <w:rPr>
                <w:rFonts w:ascii="Times New Roman" w:eastAsia="Times New Roman" w:hAnsi="Times New Roman" w:cs="Times New Roman"/>
                <w:sz w:val="8"/>
              </w:rPr>
              <w:t>d) Em caso de desistência da conexão destas unidades consumidoras, são cobrados os encargos rescisórios do CUST, proporcionais ao MUST contratado. A eventual inadimplência destes encargos pode gerar prejuízos para o sistema e para as transmissoras, pois elas são as credoras dos mencionados encargos.</w:t>
            </w:r>
          </w:p>
        </w:tc>
        <w:tc>
          <w:tcPr>
            <w:tcW w:w="0" w:type="auto"/>
            <w:gridSpan w:val="2"/>
            <w:vMerge/>
            <w:tcBorders>
              <w:top w:val="nil"/>
              <w:left w:val="single" w:sz="3" w:space="0" w:color="000000"/>
              <w:bottom w:val="nil"/>
              <w:right w:val="nil"/>
            </w:tcBorders>
          </w:tcPr>
          <w:p w14:paraId="701B73FD" w14:textId="77777777" w:rsidR="007E13DE" w:rsidRDefault="007E13DE"/>
        </w:tc>
      </w:tr>
      <w:tr w:rsidR="007E13DE" w14:paraId="1BB6ED5A"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1E707D5C" w14:textId="77777777" w:rsidR="007E13DE" w:rsidRDefault="00000000">
            <w:pPr>
              <w:spacing w:after="0"/>
              <w:ind w:left="5"/>
            </w:pPr>
            <w:r>
              <w:rPr>
                <w:rFonts w:ascii="Times New Roman" w:eastAsia="Times New Roman" w:hAnsi="Times New Roman" w:cs="Times New Roman"/>
                <w:sz w:val="11"/>
              </w:rPr>
              <w:t>III.6 – Da proposta de solução</w:t>
            </w:r>
          </w:p>
        </w:tc>
        <w:tc>
          <w:tcPr>
            <w:tcW w:w="0" w:type="auto"/>
            <w:gridSpan w:val="2"/>
            <w:vMerge/>
            <w:tcBorders>
              <w:top w:val="nil"/>
              <w:left w:val="single" w:sz="3" w:space="0" w:color="000000"/>
              <w:bottom w:val="nil"/>
              <w:right w:val="nil"/>
            </w:tcBorders>
          </w:tcPr>
          <w:p w14:paraId="5C85FFE5" w14:textId="77777777" w:rsidR="007E13DE" w:rsidRDefault="007E13DE"/>
        </w:tc>
      </w:tr>
    </w:tbl>
    <w:p w14:paraId="53BC6485" w14:textId="77777777" w:rsidR="007E13DE" w:rsidRDefault="007E13DE">
      <w:pPr>
        <w:spacing w:after="0"/>
        <w:ind w:left="-1440" w:right="8626"/>
      </w:pPr>
    </w:p>
    <w:tbl>
      <w:tblPr>
        <w:tblStyle w:val="TableGrid"/>
        <w:tblW w:w="10334" w:type="dxa"/>
        <w:tblInd w:w="-690" w:type="dxa"/>
        <w:tblCellMar>
          <w:top w:w="0" w:type="dxa"/>
          <w:left w:w="18" w:type="dxa"/>
          <w:bottom w:w="0" w:type="dxa"/>
          <w:right w:w="1" w:type="dxa"/>
        </w:tblCellMar>
        <w:tblLook w:val="04A0" w:firstRow="1" w:lastRow="0" w:firstColumn="1" w:lastColumn="0" w:noHBand="0" w:noVBand="1"/>
      </w:tblPr>
      <w:tblGrid>
        <w:gridCol w:w="5162"/>
        <w:gridCol w:w="1205"/>
        <w:gridCol w:w="3967"/>
      </w:tblGrid>
      <w:tr w:rsidR="007E13DE" w14:paraId="44E87683"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7D691F73" w14:textId="77777777" w:rsidR="007E13DE" w:rsidRDefault="00000000">
            <w:pPr>
              <w:spacing w:after="0"/>
              <w:ind w:right="2"/>
              <w:jc w:val="center"/>
            </w:pPr>
            <w:r>
              <w:rPr>
                <w:rFonts w:ascii="Times New Roman" w:eastAsia="Times New Roman" w:hAnsi="Times New Roman" w:cs="Times New Roman"/>
                <w:color w:val="0000FF"/>
                <w:sz w:val="11"/>
              </w:rPr>
              <w:t>CONTRIBUIÇÃO REFERENTE À CONSULTA PÚBLICA Nº 023/2024</w:t>
            </w:r>
          </w:p>
        </w:tc>
      </w:tr>
      <w:tr w:rsidR="007E13DE" w14:paraId="0D55910C"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517639F" w14:textId="77777777" w:rsidR="007E13DE" w:rsidRDefault="00000000">
            <w:pPr>
              <w:spacing w:after="0"/>
              <w:ind w:right="16"/>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6BB48653"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6AA3B60" w14:textId="77777777" w:rsidR="007E13DE" w:rsidRDefault="00000000">
            <w:pPr>
              <w:tabs>
                <w:tab w:val="center" w:pos="727"/>
                <w:tab w:val="center" w:pos="5157"/>
              </w:tabs>
              <w:spacing w:after="0"/>
            </w:pPr>
            <w:r>
              <w:tab/>
            </w:r>
            <w:r>
              <w:rPr>
                <w:noProof/>
              </w:rPr>
              <w:drawing>
                <wp:inline distT="0" distB="0" distL="0" distR="0" wp14:anchorId="128AF85D" wp14:editId="7866C599">
                  <wp:extent cx="438912" cy="291084"/>
                  <wp:effectExtent l="0" t="0" r="0" b="0"/>
                  <wp:docPr id="1049" name="Picture 1049"/>
                  <wp:cNvGraphicFramePr/>
                  <a:graphic xmlns:a="http://schemas.openxmlformats.org/drawingml/2006/main">
                    <a:graphicData uri="http://schemas.openxmlformats.org/drawingml/2006/picture">
                      <pic:pic xmlns:pic="http://schemas.openxmlformats.org/drawingml/2006/picture">
                        <pic:nvPicPr>
                          <pic:cNvPr id="1049" name="Picture 1049"/>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06BE1332"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0791FDB1" w14:textId="77777777" w:rsidR="007E13DE" w:rsidRDefault="00000000">
            <w:pPr>
              <w:spacing w:after="0"/>
              <w:ind w:right="5"/>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3D0DBCDD"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44F318DD" w14:textId="77777777" w:rsidR="007E13DE" w:rsidRDefault="00000000">
            <w:pPr>
              <w:spacing w:after="0"/>
              <w:ind w:right="13"/>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233DC76A"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53133750" w14:textId="77777777" w:rsidR="007E13DE" w:rsidRDefault="00000000">
            <w:pPr>
              <w:spacing w:after="0"/>
              <w:ind w:right="17"/>
              <w:jc w:val="center"/>
            </w:pPr>
            <w:r>
              <w:rPr>
                <w:rFonts w:ascii="Times New Roman" w:eastAsia="Times New Roman" w:hAnsi="Times New Roman" w:cs="Times New Roman"/>
                <w:color w:val="0000FF"/>
                <w:sz w:val="10"/>
              </w:rPr>
              <w:t>CONTRIBUIÇÕES RECEBIDAS</w:t>
            </w:r>
          </w:p>
        </w:tc>
      </w:tr>
      <w:tr w:rsidR="007E13DE" w14:paraId="752CFD8D"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1417EEB3"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29122255" w14:textId="77777777">
        <w:trPr>
          <w:trHeight w:val="79"/>
        </w:trPr>
        <w:tc>
          <w:tcPr>
            <w:tcW w:w="5162" w:type="dxa"/>
            <w:tcBorders>
              <w:top w:val="double" w:sz="5" w:space="0" w:color="000000"/>
              <w:left w:val="single" w:sz="5" w:space="0" w:color="000000"/>
              <w:bottom w:val="double" w:sz="5" w:space="0" w:color="000000"/>
              <w:right w:val="single" w:sz="5" w:space="0" w:color="000000"/>
            </w:tcBorders>
          </w:tcPr>
          <w:p w14:paraId="5A07F0B9" w14:textId="77777777" w:rsidR="007E13DE" w:rsidRDefault="00000000">
            <w:pPr>
              <w:spacing w:after="0"/>
              <w:ind w:right="16"/>
              <w:jc w:val="center"/>
            </w:pPr>
            <w:r>
              <w:rPr>
                <w:rFonts w:ascii="Times New Roman" w:eastAsia="Times New Roman" w:hAnsi="Times New Roman" w:cs="Times New Roman"/>
                <w:color w:val="FFFFFF"/>
                <w:sz w:val="10"/>
              </w:rPr>
              <w:t xml:space="preserve">TEXTO/ANEEL </w:t>
            </w:r>
          </w:p>
        </w:tc>
        <w:tc>
          <w:tcPr>
            <w:tcW w:w="1205" w:type="dxa"/>
            <w:vMerge w:val="restart"/>
            <w:tcBorders>
              <w:top w:val="double" w:sz="5" w:space="0" w:color="000000"/>
              <w:left w:val="single" w:sz="3" w:space="0" w:color="000000"/>
              <w:bottom w:val="single" w:sz="3" w:space="0" w:color="000000"/>
              <w:right w:val="nil"/>
            </w:tcBorders>
          </w:tcPr>
          <w:p w14:paraId="7DAAD5A0" w14:textId="77777777" w:rsidR="007E13DE" w:rsidRDefault="00000000">
            <w:pPr>
              <w:spacing w:after="0"/>
              <w:ind w:right="15"/>
              <w:jc w:val="center"/>
            </w:pPr>
            <w:r>
              <w:rPr>
                <w:rFonts w:ascii="Times New Roman" w:eastAsia="Times New Roman" w:hAnsi="Times New Roman" w:cs="Times New Roman"/>
                <w:color w:val="FFFFFF"/>
                <w:sz w:val="8"/>
              </w:rPr>
              <w:t>TEXTO/INSTITUIÇÃO</w:t>
            </w:r>
          </w:p>
        </w:tc>
        <w:tc>
          <w:tcPr>
            <w:tcW w:w="3967" w:type="dxa"/>
            <w:vMerge w:val="restart"/>
            <w:tcBorders>
              <w:top w:val="double" w:sz="5" w:space="0" w:color="000000"/>
              <w:left w:val="nil"/>
              <w:bottom w:val="single" w:sz="3" w:space="0" w:color="000000"/>
              <w:right w:val="nil"/>
            </w:tcBorders>
          </w:tcPr>
          <w:p w14:paraId="1DD254F6" w14:textId="77777777" w:rsidR="007E13DE" w:rsidRDefault="00000000">
            <w:pPr>
              <w:spacing w:after="0"/>
              <w:ind w:right="15"/>
              <w:jc w:val="center"/>
            </w:pPr>
            <w:r>
              <w:rPr>
                <w:rFonts w:ascii="Times New Roman" w:eastAsia="Times New Roman" w:hAnsi="Times New Roman" w:cs="Times New Roman"/>
                <w:color w:val="FFFFFF"/>
                <w:sz w:val="8"/>
              </w:rPr>
              <w:t>JUSTIFICATIVA/INSTITUIÇÃO</w:t>
            </w:r>
          </w:p>
        </w:tc>
      </w:tr>
      <w:tr w:rsidR="007E13DE" w14:paraId="5E91A976" w14:textId="77777777">
        <w:trPr>
          <w:trHeight w:val="658"/>
        </w:trPr>
        <w:tc>
          <w:tcPr>
            <w:tcW w:w="5162" w:type="dxa"/>
            <w:tcBorders>
              <w:top w:val="double" w:sz="5" w:space="0" w:color="000000"/>
              <w:left w:val="single" w:sz="3" w:space="0" w:color="000000"/>
              <w:bottom w:val="single" w:sz="3" w:space="0" w:color="000000"/>
              <w:right w:val="single" w:sz="3" w:space="0" w:color="000000"/>
            </w:tcBorders>
          </w:tcPr>
          <w:p w14:paraId="37BBDCDD" w14:textId="77777777" w:rsidR="007E13DE" w:rsidRDefault="00000000">
            <w:pPr>
              <w:spacing w:after="0"/>
              <w:ind w:left="2"/>
            </w:pPr>
            <w:r>
              <w:rPr>
                <w:rFonts w:ascii="Times New Roman" w:eastAsia="Times New Roman" w:hAnsi="Times New Roman" w:cs="Times New Roman"/>
                <w:sz w:val="8"/>
              </w:rPr>
              <w:t>50. Para solucionar os problemas identificados no item anterior, com exceção do elencado no item “a)”, propõe-se implantar, para as unidades consumidoras que se conectarão na Rede Básica, as mesmas alterações normativas trazidas para as centrais geradoras pela Resolução Normativa n° 1.069, de 29 de agosto de 2023 (REN 1069/2023), com as adaptações necessárias. Destacamos que as alterações normativas trazidas pela REN 1069/2023 foram detalhadas nos Procedimentos de Rede, conforme as alterações trazidas pelo Despacho nº 3.245, de 1o de setembro de 2023 (DSP 3245/2023) e pelo Despacho nº 1.788, de 14 de junho de 2024 (DSP 1788/2024).</w:t>
            </w:r>
          </w:p>
        </w:tc>
        <w:tc>
          <w:tcPr>
            <w:tcW w:w="0" w:type="auto"/>
            <w:vMerge/>
            <w:tcBorders>
              <w:top w:val="nil"/>
              <w:left w:val="single" w:sz="3" w:space="0" w:color="000000"/>
              <w:bottom w:val="nil"/>
              <w:right w:val="nil"/>
            </w:tcBorders>
          </w:tcPr>
          <w:p w14:paraId="3D14D6CA" w14:textId="77777777" w:rsidR="007E13DE" w:rsidRDefault="007E13DE"/>
        </w:tc>
        <w:tc>
          <w:tcPr>
            <w:tcW w:w="0" w:type="auto"/>
            <w:vMerge/>
            <w:tcBorders>
              <w:top w:val="nil"/>
              <w:left w:val="nil"/>
              <w:bottom w:val="nil"/>
              <w:right w:val="nil"/>
            </w:tcBorders>
          </w:tcPr>
          <w:p w14:paraId="6380C851" w14:textId="77777777" w:rsidR="007E13DE" w:rsidRDefault="007E13DE"/>
        </w:tc>
      </w:tr>
      <w:tr w:rsidR="007E13DE" w14:paraId="0C69B3E1"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151EEC23" w14:textId="77777777" w:rsidR="007E13DE" w:rsidRDefault="00000000">
            <w:pPr>
              <w:spacing w:after="0"/>
              <w:ind w:left="2"/>
            </w:pPr>
            <w:r>
              <w:rPr>
                <w:rFonts w:ascii="Times New Roman" w:eastAsia="Times New Roman" w:hAnsi="Times New Roman" w:cs="Times New Roman"/>
                <w:sz w:val="8"/>
              </w:rPr>
              <w:t>51. As medidas propostas pela REN 1069/2023, detalhadas no DSP 3245/2023 e no DSP 1788/2024 incluíram:</w:t>
            </w:r>
          </w:p>
        </w:tc>
        <w:tc>
          <w:tcPr>
            <w:tcW w:w="0" w:type="auto"/>
            <w:vMerge/>
            <w:tcBorders>
              <w:top w:val="nil"/>
              <w:left w:val="single" w:sz="3" w:space="0" w:color="000000"/>
              <w:bottom w:val="nil"/>
              <w:right w:val="nil"/>
            </w:tcBorders>
          </w:tcPr>
          <w:p w14:paraId="5E55AD24" w14:textId="77777777" w:rsidR="007E13DE" w:rsidRDefault="007E13DE"/>
        </w:tc>
        <w:tc>
          <w:tcPr>
            <w:tcW w:w="0" w:type="auto"/>
            <w:vMerge/>
            <w:tcBorders>
              <w:top w:val="nil"/>
              <w:left w:val="nil"/>
              <w:bottom w:val="nil"/>
              <w:right w:val="nil"/>
            </w:tcBorders>
          </w:tcPr>
          <w:p w14:paraId="17E02149" w14:textId="77777777" w:rsidR="007E13DE" w:rsidRDefault="007E13DE"/>
        </w:tc>
      </w:tr>
      <w:tr w:rsidR="007E13DE" w14:paraId="500B58DE"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E2687B8" w14:textId="77777777" w:rsidR="007E13DE" w:rsidRDefault="00000000">
            <w:pPr>
              <w:spacing w:after="0"/>
              <w:ind w:left="370"/>
            </w:pPr>
            <w:r>
              <w:rPr>
                <w:rFonts w:ascii="Times New Roman" w:eastAsia="Times New Roman" w:hAnsi="Times New Roman" w:cs="Times New Roman"/>
                <w:sz w:val="8"/>
              </w:rPr>
              <w:t>a) Incluir a divulgação de margem de potência disponível para os geradores no sistema pelo ONS;</w:t>
            </w:r>
          </w:p>
        </w:tc>
        <w:tc>
          <w:tcPr>
            <w:tcW w:w="0" w:type="auto"/>
            <w:vMerge/>
            <w:tcBorders>
              <w:top w:val="nil"/>
              <w:left w:val="single" w:sz="3" w:space="0" w:color="000000"/>
              <w:bottom w:val="nil"/>
              <w:right w:val="nil"/>
            </w:tcBorders>
          </w:tcPr>
          <w:p w14:paraId="37317489" w14:textId="77777777" w:rsidR="007E13DE" w:rsidRDefault="007E13DE"/>
        </w:tc>
        <w:tc>
          <w:tcPr>
            <w:tcW w:w="0" w:type="auto"/>
            <w:vMerge/>
            <w:tcBorders>
              <w:top w:val="nil"/>
              <w:left w:val="nil"/>
              <w:bottom w:val="nil"/>
              <w:right w:val="nil"/>
            </w:tcBorders>
          </w:tcPr>
          <w:p w14:paraId="7F508BAD" w14:textId="77777777" w:rsidR="007E13DE" w:rsidRDefault="007E13DE"/>
        </w:tc>
      </w:tr>
      <w:tr w:rsidR="007E13DE" w14:paraId="34B5B20D"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5E5D2193" w14:textId="77777777" w:rsidR="007E13DE" w:rsidRDefault="00000000">
            <w:pPr>
              <w:spacing w:after="0"/>
              <w:ind w:left="370"/>
            </w:pPr>
            <w:r>
              <w:rPr>
                <w:rFonts w:ascii="Times New Roman" w:eastAsia="Times New Roman" w:hAnsi="Times New Roman" w:cs="Times New Roman"/>
                <w:sz w:val="8"/>
              </w:rPr>
              <w:t>b) Estabelecimento, para os geradores, de garantias financeiras para solicitar o Parecer de Acesso ao ONS;</w:t>
            </w:r>
          </w:p>
        </w:tc>
        <w:tc>
          <w:tcPr>
            <w:tcW w:w="0" w:type="auto"/>
            <w:vMerge/>
            <w:tcBorders>
              <w:top w:val="nil"/>
              <w:left w:val="single" w:sz="3" w:space="0" w:color="000000"/>
              <w:bottom w:val="nil"/>
              <w:right w:val="nil"/>
            </w:tcBorders>
          </w:tcPr>
          <w:p w14:paraId="35DDF7F1" w14:textId="77777777" w:rsidR="007E13DE" w:rsidRDefault="007E13DE"/>
        </w:tc>
        <w:tc>
          <w:tcPr>
            <w:tcW w:w="0" w:type="auto"/>
            <w:vMerge/>
            <w:tcBorders>
              <w:top w:val="nil"/>
              <w:left w:val="nil"/>
              <w:bottom w:val="nil"/>
              <w:right w:val="nil"/>
            </w:tcBorders>
          </w:tcPr>
          <w:p w14:paraId="1F7DB5D7" w14:textId="77777777" w:rsidR="007E13DE" w:rsidRDefault="007E13DE"/>
        </w:tc>
      </w:tr>
      <w:tr w:rsidR="007E13DE" w14:paraId="7A13915A"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97C785C" w14:textId="77777777" w:rsidR="007E13DE" w:rsidRDefault="00000000">
            <w:pPr>
              <w:spacing w:after="0"/>
              <w:ind w:left="370"/>
            </w:pPr>
            <w:r>
              <w:rPr>
                <w:rFonts w:ascii="Times New Roman" w:eastAsia="Times New Roman" w:hAnsi="Times New Roman" w:cs="Times New Roman"/>
                <w:sz w:val="8"/>
              </w:rPr>
              <w:t>c) Estabelecimento, para os geradores, de garantias financeiras como requisito para a assinatura do CUST, a serem devolvidas quando da entrada em operação comercial e recebimento da Declaração de Atendimento aos Procedimentos de Rede Definitivo (DAPR/D);</w:t>
            </w:r>
          </w:p>
        </w:tc>
        <w:tc>
          <w:tcPr>
            <w:tcW w:w="0" w:type="auto"/>
            <w:vMerge/>
            <w:tcBorders>
              <w:top w:val="nil"/>
              <w:left w:val="single" w:sz="3" w:space="0" w:color="000000"/>
              <w:bottom w:val="nil"/>
              <w:right w:val="nil"/>
            </w:tcBorders>
          </w:tcPr>
          <w:p w14:paraId="772240E1" w14:textId="77777777" w:rsidR="007E13DE" w:rsidRDefault="007E13DE"/>
        </w:tc>
        <w:tc>
          <w:tcPr>
            <w:tcW w:w="0" w:type="auto"/>
            <w:vMerge/>
            <w:tcBorders>
              <w:top w:val="nil"/>
              <w:left w:val="nil"/>
              <w:bottom w:val="nil"/>
              <w:right w:val="nil"/>
            </w:tcBorders>
          </w:tcPr>
          <w:p w14:paraId="781FE14F" w14:textId="77777777" w:rsidR="007E13DE" w:rsidRDefault="007E13DE"/>
        </w:tc>
      </w:tr>
      <w:tr w:rsidR="007E13DE" w14:paraId="53681ED6"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5BBC1B0F" w14:textId="77777777" w:rsidR="007E13DE" w:rsidRDefault="00000000">
            <w:pPr>
              <w:spacing w:after="0"/>
              <w:ind w:left="370" w:right="3"/>
            </w:pPr>
            <w:r>
              <w:rPr>
                <w:rFonts w:ascii="Times New Roman" w:eastAsia="Times New Roman" w:hAnsi="Times New Roman" w:cs="Times New Roman"/>
                <w:sz w:val="8"/>
              </w:rPr>
              <w:t>d) Estabelecer que a data de início de execução do CUST originalmente celebrado não deverá ser posterior a 60 meses para centrais geradoras de fonte hídrica e 36 meses para as centrais geradoras das demais fontes, contados a partir da data de sua assinatura;</w:t>
            </w:r>
          </w:p>
        </w:tc>
        <w:tc>
          <w:tcPr>
            <w:tcW w:w="0" w:type="auto"/>
            <w:vMerge/>
            <w:tcBorders>
              <w:top w:val="nil"/>
              <w:left w:val="single" w:sz="3" w:space="0" w:color="000000"/>
              <w:bottom w:val="nil"/>
              <w:right w:val="nil"/>
            </w:tcBorders>
          </w:tcPr>
          <w:p w14:paraId="5A6707E8" w14:textId="77777777" w:rsidR="007E13DE" w:rsidRDefault="007E13DE"/>
        </w:tc>
        <w:tc>
          <w:tcPr>
            <w:tcW w:w="0" w:type="auto"/>
            <w:vMerge/>
            <w:tcBorders>
              <w:top w:val="nil"/>
              <w:left w:val="nil"/>
              <w:bottom w:val="nil"/>
              <w:right w:val="nil"/>
            </w:tcBorders>
          </w:tcPr>
          <w:p w14:paraId="3DA739FB" w14:textId="77777777" w:rsidR="007E13DE" w:rsidRDefault="007E13DE"/>
        </w:tc>
      </w:tr>
      <w:tr w:rsidR="007E13DE" w14:paraId="274298A8"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5C73CA9D" w14:textId="77777777" w:rsidR="007E13DE" w:rsidRDefault="00000000">
            <w:pPr>
              <w:spacing w:after="0"/>
              <w:ind w:left="370"/>
            </w:pPr>
            <w:r>
              <w:rPr>
                <w:rFonts w:ascii="Times New Roman" w:eastAsia="Times New Roman" w:hAnsi="Times New Roman" w:cs="Times New Roman"/>
                <w:sz w:val="8"/>
              </w:rPr>
              <w:t>e) Estabelecer, para os geradores, que a data de início de execução do CUST poderá ser postergada somente uma única vez por até 12 meses, mediante pagamento de encargo de reserva de rede por este período; e</w:t>
            </w:r>
          </w:p>
        </w:tc>
        <w:tc>
          <w:tcPr>
            <w:tcW w:w="0" w:type="auto"/>
            <w:vMerge/>
            <w:tcBorders>
              <w:top w:val="nil"/>
              <w:left w:val="single" w:sz="3" w:space="0" w:color="000000"/>
              <w:bottom w:val="nil"/>
              <w:right w:val="nil"/>
            </w:tcBorders>
          </w:tcPr>
          <w:p w14:paraId="6130BED4" w14:textId="77777777" w:rsidR="007E13DE" w:rsidRDefault="007E13DE"/>
        </w:tc>
        <w:tc>
          <w:tcPr>
            <w:tcW w:w="0" w:type="auto"/>
            <w:vMerge/>
            <w:tcBorders>
              <w:top w:val="nil"/>
              <w:left w:val="nil"/>
              <w:bottom w:val="nil"/>
              <w:right w:val="nil"/>
            </w:tcBorders>
          </w:tcPr>
          <w:p w14:paraId="2615A408" w14:textId="77777777" w:rsidR="007E13DE" w:rsidRDefault="007E13DE"/>
        </w:tc>
      </w:tr>
      <w:tr w:rsidR="007E13DE" w14:paraId="0FEB87C8"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0E71F07" w14:textId="77777777" w:rsidR="007E13DE" w:rsidRDefault="00000000">
            <w:pPr>
              <w:spacing w:after="0"/>
              <w:ind w:left="370"/>
            </w:pPr>
            <w:r>
              <w:rPr>
                <w:rFonts w:ascii="Times New Roman" w:eastAsia="Times New Roman" w:hAnsi="Times New Roman" w:cs="Times New Roman"/>
                <w:sz w:val="8"/>
              </w:rPr>
              <w:t>f) Estabelecer que as outorgas das centrais geradoras somente poderão ser emitidas após a assinatura do CUST.</w:t>
            </w:r>
          </w:p>
        </w:tc>
        <w:tc>
          <w:tcPr>
            <w:tcW w:w="0" w:type="auto"/>
            <w:vMerge/>
            <w:tcBorders>
              <w:top w:val="nil"/>
              <w:left w:val="single" w:sz="3" w:space="0" w:color="000000"/>
              <w:bottom w:val="nil"/>
              <w:right w:val="nil"/>
            </w:tcBorders>
          </w:tcPr>
          <w:p w14:paraId="7D9E19A5" w14:textId="77777777" w:rsidR="007E13DE" w:rsidRDefault="007E13DE"/>
        </w:tc>
        <w:tc>
          <w:tcPr>
            <w:tcW w:w="0" w:type="auto"/>
            <w:vMerge/>
            <w:tcBorders>
              <w:top w:val="nil"/>
              <w:left w:val="nil"/>
              <w:bottom w:val="nil"/>
              <w:right w:val="nil"/>
            </w:tcBorders>
          </w:tcPr>
          <w:p w14:paraId="354AC16F" w14:textId="77777777" w:rsidR="007E13DE" w:rsidRDefault="007E13DE"/>
        </w:tc>
      </w:tr>
      <w:tr w:rsidR="007E13DE" w14:paraId="12C91262"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59C4CFEF" w14:textId="77777777" w:rsidR="007E13DE" w:rsidRDefault="00000000">
            <w:pPr>
              <w:spacing w:after="0"/>
              <w:ind w:left="2"/>
            </w:pPr>
            <w:r>
              <w:rPr>
                <w:rFonts w:ascii="Times New Roman" w:eastAsia="Times New Roman" w:hAnsi="Times New Roman" w:cs="Times New Roman"/>
                <w:sz w:val="8"/>
              </w:rPr>
              <w:t>52. Conforme o Relatório de Análise de Impacto Regulatório nº 1/2023-STD-SCE-SGM/ANEEL e a Nota Técnica nº 71/2023-STD-SCE-SGM/ANEEL, ambos de 28 de agosto de 2023, que motivaram a aprovação da Resolução Normativa nº 1.069, de 29 de agosto de 2023, o estabelecimento das medidas acima reportadas para o acesso de centrais tiveram como objetivos os elencados a seguir, de forma resumida. Estes objetivos tencionaram tratar das consequências do seguinte problema regulatório: Incompatibilidade do aparato regulatório de acesso à transmissão, no cenário de expansão de geradores eólicos e fotovoltaicos.</w:t>
            </w:r>
          </w:p>
        </w:tc>
        <w:tc>
          <w:tcPr>
            <w:tcW w:w="0" w:type="auto"/>
            <w:vMerge/>
            <w:tcBorders>
              <w:top w:val="nil"/>
              <w:left w:val="single" w:sz="3" w:space="0" w:color="000000"/>
              <w:bottom w:val="nil"/>
              <w:right w:val="nil"/>
            </w:tcBorders>
          </w:tcPr>
          <w:p w14:paraId="6E69DA37" w14:textId="77777777" w:rsidR="007E13DE" w:rsidRDefault="007E13DE"/>
        </w:tc>
        <w:tc>
          <w:tcPr>
            <w:tcW w:w="0" w:type="auto"/>
            <w:vMerge/>
            <w:tcBorders>
              <w:top w:val="nil"/>
              <w:left w:val="nil"/>
              <w:bottom w:val="nil"/>
              <w:right w:val="nil"/>
            </w:tcBorders>
          </w:tcPr>
          <w:p w14:paraId="6DE55A60" w14:textId="77777777" w:rsidR="007E13DE" w:rsidRDefault="007E13DE"/>
        </w:tc>
      </w:tr>
      <w:tr w:rsidR="007E13DE" w14:paraId="7F2796F1"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6D2F6AB" w14:textId="77777777" w:rsidR="007E13DE" w:rsidRDefault="00000000">
            <w:pPr>
              <w:spacing w:after="0"/>
              <w:ind w:left="370"/>
            </w:pPr>
            <w:r>
              <w:rPr>
                <w:rFonts w:ascii="Times New Roman" w:eastAsia="Times New Roman" w:hAnsi="Times New Roman" w:cs="Times New Roman"/>
                <w:sz w:val="8"/>
              </w:rPr>
              <w:t>a) Proporcionar condições para o uso eficiente da rede de transmissão e adequada alocação dos custos;</w:t>
            </w:r>
          </w:p>
        </w:tc>
        <w:tc>
          <w:tcPr>
            <w:tcW w:w="0" w:type="auto"/>
            <w:vMerge/>
            <w:tcBorders>
              <w:top w:val="nil"/>
              <w:left w:val="single" w:sz="3" w:space="0" w:color="000000"/>
              <w:bottom w:val="nil"/>
              <w:right w:val="nil"/>
            </w:tcBorders>
          </w:tcPr>
          <w:p w14:paraId="264DD963" w14:textId="77777777" w:rsidR="007E13DE" w:rsidRDefault="007E13DE"/>
        </w:tc>
        <w:tc>
          <w:tcPr>
            <w:tcW w:w="0" w:type="auto"/>
            <w:vMerge/>
            <w:tcBorders>
              <w:top w:val="nil"/>
              <w:left w:val="nil"/>
              <w:bottom w:val="nil"/>
              <w:right w:val="nil"/>
            </w:tcBorders>
          </w:tcPr>
          <w:p w14:paraId="13996796" w14:textId="77777777" w:rsidR="007E13DE" w:rsidRDefault="007E13DE"/>
        </w:tc>
      </w:tr>
      <w:tr w:rsidR="007E13DE" w14:paraId="7483AC17"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2CD69742" w14:textId="77777777" w:rsidR="007E13DE" w:rsidRDefault="00000000">
            <w:pPr>
              <w:spacing w:after="0"/>
              <w:ind w:left="370"/>
            </w:pPr>
            <w:r>
              <w:rPr>
                <w:rFonts w:ascii="Times New Roman" w:eastAsia="Times New Roman" w:hAnsi="Times New Roman" w:cs="Times New Roman"/>
                <w:sz w:val="8"/>
              </w:rPr>
              <w:t>b) Simplificar o processo de acesso para geradores;</w:t>
            </w:r>
          </w:p>
        </w:tc>
        <w:tc>
          <w:tcPr>
            <w:tcW w:w="0" w:type="auto"/>
            <w:vMerge/>
            <w:tcBorders>
              <w:top w:val="nil"/>
              <w:left w:val="single" w:sz="3" w:space="0" w:color="000000"/>
              <w:bottom w:val="nil"/>
              <w:right w:val="nil"/>
            </w:tcBorders>
          </w:tcPr>
          <w:p w14:paraId="3F75949F" w14:textId="77777777" w:rsidR="007E13DE" w:rsidRDefault="007E13DE"/>
        </w:tc>
        <w:tc>
          <w:tcPr>
            <w:tcW w:w="0" w:type="auto"/>
            <w:vMerge/>
            <w:tcBorders>
              <w:top w:val="nil"/>
              <w:left w:val="nil"/>
              <w:bottom w:val="nil"/>
              <w:right w:val="nil"/>
            </w:tcBorders>
          </w:tcPr>
          <w:p w14:paraId="1CD362D8" w14:textId="77777777" w:rsidR="007E13DE" w:rsidRDefault="007E13DE"/>
        </w:tc>
      </w:tr>
      <w:tr w:rsidR="007E13DE" w14:paraId="6E869BE0"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A6DF453" w14:textId="77777777" w:rsidR="007E13DE" w:rsidRDefault="00000000">
            <w:pPr>
              <w:spacing w:after="0"/>
              <w:ind w:left="370"/>
            </w:pPr>
            <w:r>
              <w:rPr>
                <w:rFonts w:ascii="Times New Roman" w:eastAsia="Times New Roman" w:hAnsi="Times New Roman" w:cs="Times New Roman"/>
                <w:sz w:val="8"/>
              </w:rPr>
              <w:t>c) Definir critérios objetivos para determinar a viabilidade de acesso; e</w:t>
            </w:r>
          </w:p>
        </w:tc>
        <w:tc>
          <w:tcPr>
            <w:tcW w:w="0" w:type="auto"/>
            <w:vMerge/>
            <w:tcBorders>
              <w:top w:val="nil"/>
              <w:left w:val="single" w:sz="3" w:space="0" w:color="000000"/>
              <w:bottom w:val="nil"/>
              <w:right w:val="nil"/>
            </w:tcBorders>
          </w:tcPr>
          <w:p w14:paraId="67430BA9" w14:textId="77777777" w:rsidR="007E13DE" w:rsidRDefault="007E13DE"/>
        </w:tc>
        <w:tc>
          <w:tcPr>
            <w:tcW w:w="0" w:type="auto"/>
            <w:vMerge/>
            <w:tcBorders>
              <w:top w:val="nil"/>
              <w:left w:val="nil"/>
              <w:bottom w:val="nil"/>
              <w:right w:val="nil"/>
            </w:tcBorders>
          </w:tcPr>
          <w:p w14:paraId="122347CF" w14:textId="77777777" w:rsidR="007E13DE" w:rsidRDefault="007E13DE"/>
        </w:tc>
      </w:tr>
      <w:tr w:rsidR="007E13DE" w14:paraId="4A769003"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3D16CBBF" w14:textId="77777777" w:rsidR="007E13DE" w:rsidRDefault="00000000">
            <w:pPr>
              <w:spacing w:after="0"/>
              <w:ind w:left="370"/>
            </w:pPr>
            <w:r>
              <w:rPr>
                <w:rFonts w:ascii="Times New Roman" w:eastAsia="Times New Roman" w:hAnsi="Times New Roman" w:cs="Times New Roman"/>
                <w:sz w:val="8"/>
              </w:rPr>
              <w:t>d) Esclarecer a matriz de risco dos geradores no acesso.</w:t>
            </w:r>
          </w:p>
        </w:tc>
        <w:tc>
          <w:tcPr>
            <w:tcW w:w="0" w:type="auto"/>
            <w:vMerge/>
            <w:tcBorders>
              <w:top w:val="nil"/>
              <w:left w:val="single" w:sz="3" w:space="0" w:color="000000"/>
              <w:bottom w:val="nil"/>
              <w:right w:val="nil"/>
            </w:tcBorders>
          </w:tcPr>
          <w:p w14:paraId="2E934377" w14:textId="77777777" w:rsidR="007E13DE" w:rsidRDefault="007E13DE"/>
        </w:tc>
        <w:tc>
          <w:tcPr>
            <w:tcW w:w="0" w:type="auto"/>
            <w:vMerge/>
            <w:tcBorders>
              <w:top w:val="nil"/>
              <w:left w:val="nil"/>
              <w:bottom w:val="nil"/>
              <w:right w:val="nil"/>
            </w:tcBorders>
          </w:tcPr>
          <w:p w14:paraId="62900757" w14:textId="77777777" w:rsidR="007E13DE" w:rsidRDefault="007E13DE"/>
        </w:tc>
      </w:tr>
      <w:tr w:rsidR="007E13DE" w14:paraId="7C8D02B3"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417FA326" w14:textId="77777777" w:rsidR="007E13DE" w:rsidRDefault="00000000">
            <w:pPr>
              <w:spacing w:after="11"/>
              <w:ind w:left="2"/>
              <w:jc w:val="both"/>
            </w:pPr>
            <w:r>
              <w:rPr>
                <w:rFonts w:ascii="Times New Roman" w:eastAsia="Times New Roman" w:hAnsi="Times New Roman" w:cs="Times New Roman"/>
                <w:sz w:val="8"/>
              </w:rPr>
              <w:t xml:space="preserve">53. Para o estabelecimento das mencionadas medidas, a REN 1069/2023 alterou o Módulo 5 das Regras dos Serviços de Transmissão de Energia </w:t>
            </w:r>
          </w:p>
          <w:p w14:paraId="58A2BD66" w14:textId="77777777" w:rsidR="007E13DE" w:rsidRDefault="00000000">
            <w:pPr>
              <w:spacing w:after="0"/>
              <w:ind w:left="2"/>
            </w:pPr>
            <w:r>
              <w:rPr>
                <w:rFonts w:ascii="Times New Roman" w:eastAsia="Times New Roman" w:hAnsi="Times New Roman" w:cs="Times New Roman"/>
                <w:sz w:val="8"/>
              </w:rPr>
              <w:t>Elétrica e os Despachos 3245/2023 e 1788/2024 alteraram os seguintes submódulos dos Procedimentos de Rede: 1.2 (Procedimental), 7.1 (Procedimental), 7.1 (Responsabilidades), 7.13 (Procedimental), 7.14 (Procedimental), 8.1 (Procedimental), 8.1 (Responsabilidades), 8.3 (Procedimental) e 8.3 (Responsabilidades).</w:t>
            </w:r>
          </w:p>
        </w:tc>
        <w:tc>
          <w:tcPr>
            <w:tcW w:w="0" w:type="auto"/>
            <w:vMerge/>
            <w:tcBorders>
              <w:top w:val="nil"/>
              <w:left w:val="single" w:sz="3" w:space="0" w:color="000000"/>
              <w:bottom w:val="nil"/>
              <w:right w:val="nil"/>
            </w:tcBorders>
          </w:tcPr>
          <w:p w14:paraId="7648CEAA" w14:textId="77777777" w:rsidR="007E13DE" w:rsidRDefault="007E13DE"/>
        </w:tc>
        <w:tc>
          <w:tcPr>
            <w:tcW w:w="0" w:type="auto"/>
            <w:vMerge/>
            <w:tcBorders>
              <w:top w:val="nil"/>
              <w:left w:val="nil"/>
              <w:bottom w:val="nil"/>
              <w:right w:val="nil"/>
            </w:tcBorders>
          </w:tcPr>
          <w:p w14:paraId="622D3D14" w14:textId="77777777" w:rsidR="007E13DE" w:rsidRDefault="007E13DE"/>
        </w:tc>
      </w:tr>
      <w:tr w:rsidR="007E13DE" w14:paraId="75BF7279"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48AD9672" w14:textId="77777777" w:rsidR="007E13DE" w:rsidRDefault="00000000">
            <w:pPr>
              <w:spacing w:after="0"/>
              <w:ind w:left="2"/>
            </w:pPr>
            <w:r>
              <w:rPr>
                <w:rFonts w:ascii="Times New Roman" w:eastAsia="Times New Roman" w:hAnsi="Times New Roman" w:cs="Times New Roman"/>
                <w:sz w:val="8"/>
              </w:rPr>
              <w:t>54. Tendo em vista que os objetivos a serem alcançados pelas medidas adotadas para as centrais geradoras podem também se aplicar para as unidades consumidoras que desejam se conectar na Rede Básica, proporemos um texto normativo similar ao anteriormente aprovado para as centrais geradoras, com adaptações para o caso específico de unidades consumidoras conectadas à Rede Básica.</w:t>
            </w:r>
          </w:p>
        </w:tc>
        <w:tc>
          <w:tcPr>
            <w:tcW w:w="0" w:type="auto"/>
            <w:vMerge/>
            <w:tcBorders>
              <w:top w:val="nil"/>
              <w:left w:val="single" w:sz="3" w:space="0" w:color="000000"/>
              <w:bottom w:val="nil"/>
              <w:right w:val="nil"/>
            </w:tcBorders>
          </w:tcPr>
          <w:p w14:paraId="46717259" w14:textId="77777777" w:rsidR="007E13DE" w:rsidRDefault="007E13DE"/>
        </w:tc>
        <w:tc>
          <w:tcPr>
            <w:tcW w:w="0" w:type="auto"/>
            <w:vMerge/>
            <w:tcBorders>
              <w:top w:val="nil"/>
              <w:left w:val="nil"/>
              <w:bottom w:val="nil"/>
              <w:right w:val="nil"/>
            </w:tcBorders>
          </w:tcPr>
          <w:p w14:paraId="093C9F7F" w14:textId="77777777" w:rsidR="007E13DE" w:rsidRDefault="007E13DE"/>
        </w:tc>
      </w:tr>
      <w:tr w:rsidR="007E13DE" w14:paraId="75F38E18"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4C9773A8" w14:textId="77777777" w:rsidR="007E13DE" w:rsidRDefault="00000000">
            <w:pPr>
              <w:spacing w:after="0"/>
              <w:ind w:left="2"/>
            </w:pPr>
            <w:r>
              <w:rPr>
                <w:rFonts w:ascii="Times New Roman" w:eastAsia="Times New Roman" w:hAnsi="Times New Roman" w:cs="Times New Roman"/>
                <w:sz w:val="8"/>
              </w:rPr>
              <w:t>55. Este texto proposto, em anexo, modificará o Módulo 5 das Regras dos Serviços de Transmissão de Energia Elétrica, implantando as medidas elencadas a seguir para as unidades consumidoras que se conectam à Rede Básica ou que desejem fazê-lo. As modificações propostas estão devidamente destacadas.</w:t>
            </w:r>
          </w:p>
        </w:tc>
        <w:tc>
          <w:tcPr>
            <w:tcW w:w="0" w:type="auto"/>
            <w:vMerge/>
            <w:tcBorders>
              <w:top w:val="nil"/>
              <w:left w:val="single" w:sz="3" w:space="0" w:color="000000"/>
              <w:bottom w:val="single" w:sz="3" w:space="0" w:color="000000"/>
              <w:right w:val="nil"/>
            </w:tcBorders>
          </w:tcPr>
          <w:p w14:paraId="693CDCDB" w14:textId="77777777" w:rsidR="007E13DE" w:rsidRDefault="007E13DE"/>
        </w:tc>
        <w:tc>
          <w:tcPr>
            <w:tcW w:w="0" w:type="auto"/>
            <w:vMerge/>
            <w:tcBorders>
              <w:top w:val="nil"/>
              <w:left w:val="nil"/>
              <w:bottom w:val="single" w:sz="3" w:space="0" w:color="000000"/>
              <w:right w:val="nil"/>
            </w:tcBorders>
          </w:tcPr>
          <w:p w14:paraId="5EF19BD1" w14:textId="77777777" w:rsidR="007E13DE" w:rsidRDefault="007E13DE"/>
        </w:tc>
      </w:tr>
      <w:tr w:rsidR="007E13DE" w14:paraId="2B1971EA"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1B9F2183" w14:textId="77777777" w:rsidR="007E13DE" w:rsidRDefault="00000000">
            <w:pPr>
              <w:spacing w:after="0"/>
              <w:ind w:left="370"/>
            </w:pPr>
            <w:r>
              <w:rPr>
                <w:rFonts w:ascii="Times New Roman" w:eastAsia="Times New Roman" w:hAnsi="Times New Roman" w:cs="Times New Roman"/>
                <w:sz w:val="8"/>
              </w:rPr>
              <w:t>a) Estabelecimento, para os consumidores, de garantias financeiras para solicitar o Parecer de Acesso ao ONS;</w:t>
            </w:r>
          </w:p>
        </w:tc>
        <w:tc>
          <w:tcPr>
            <w:tcW w:w="1205" w:type="dxa"/>
            <w:tcBorders>
              <w:top w:val="single" w:sz="3" w:space="0" w:color="000000"/>
              <w:left w:val="single" w:sz="3" w:space="0" w:color="000000"/>
              <w:bottom w:val="single" w:sz="3" w:space="0" w:color="000000"/>
              <w:right w:val="single" w:sz="3" w:space="0" w:color="000000"/>
            </w:tcBorders>
          </w:tcPr>
          <w:p w14:paraId="42D55C8E"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0E4C95BF"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0383F189"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0A33FA53" w14:textId="77777777" w:rsidR="007E13DE" w:rsidRDefault="00000000">
            <w:pPr>
              <w:spacing w:after="0"/>
              <w:ind w:left="370"/>
            </w:pPr>
            <w:r>
              <w:rPr>
                <w:rFonts w:ascii="Times New Roman" w:eastAsia="Times New Roman" w:hAnsi="Times New Roman" w:cs="Times New Roman"/>
                <w:sz w:val="8"/>
              </w:rPr>
              <w:t>b) Estabelecimento, para os consumidores, de garantias financeiras como requisito para a assinatura do CUST, a serem devolvidas quando da energização de suas instalações atendendo a todos requisitos previstos nos Procedimentos de Rede para operação em caráter definitivo e a contratação do maior MUST previsto no estudo de mínimo custo global que motivou a emissão da Portaria do MME. Estas garantias serão executadas em caso de rescisão do CUST ou descontratação de um ponto de conexão antes da sua devolução;</w:t>
            </w:r>
          </w:p>
        </w:tc>
        <w:tc>
          <w:tcPr>
            <w:tcW w:w="1205" w:type="dxa"/>
            <w:tcBorders>
              <w:top w:val="single" w:sz="3" w:space="0" w:color="000000"/>
              <w:left w:val="single" w:sz="3" w:space="0" w:color="000000"/>
              <w:bottom w:val="single" w:sz="3" w:space="0" w:color="000000"/>
              <w:right w:val="single" w:sz="3" w:space="0" w:color="000000"/>
            </w:tcBorders>
            <w:vAlign w:val="center"/>
          </w:tcPr>
          <w:p w14:paraId="0716ED3D"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59801A6"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1437A38B"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7D5B908" w14:textId="77777777" w:rsidR="007E13DE" w:rsidRDefault="00000000">
            <w:pPr>
              <w:spacing w:after="0"/>
              <w:ind w:left="370"/>
            </w:pPr>
            <w:r>
              <w:rPr>
                <w:rFonts w:ascii="Times New Roman" w:eastAsia="Times New Roman" w:hAnsi="Times New Roman" w:cs="Times New Roman"/>
                <w:sz w:val="8"/>
              </w:rPr>
              <w:t>c) Estabelecer que a data de início de contratação do MUST prevista no CUST originalmente celebrado não poderá ser posterior à data prevista no estudo de mínimo custo global que motivou a emissão da Portaria do MME;</w:t>
            </w:r>
          </w:p>
        </w:tc>
        <w:tc>
          <w:tcPr>
            <w:tcW w:w="1205" w:type="dxa"/>
            <w:tcBorders>
              <w:top w:val="single" w:sz="3" w:space="0" w:color="000000"/>
              <w:left w:val="single" w:sz="3" w:space="0" w:color="000000"/>
              <w:bottom w:val="single" w:sz="3" w:space="0" w:color="000000"/>
              <w:right w:val="single" w:sz="3" w:space="0" w:color="000000"/>
            </w:tcBorders>
          </w:tcPr>
          <w:p w14:paraId="5D2864C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71B0519B"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2755CF80"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589C544" w14:textId="77777777" w:rsidR="007E13DE" w:rsidRDefault="00000000">
            <w:pPr>
              <w:spacing w:after="0"/>
              <w:ind w:left="370"/>
            </w:pPr>
            <w:r>
              <w:rPr>
                <w:rFonts w:ascii="Times New Roman" w:eastAsia="Times New Roman" w:hAnsi="Times New Roman" w:cs="Times New Roman"/>
                <w:sz w:val="8"/>
              </w:rPr>
              <w:t>d) Estabelecer, para os consumidores, que a data de início de contratação do MUST definida na celebração do primeiro instrumento contratual somente poderá ser postergada uma única vez e por até 12 meses, mediante o pagamento de encargo de reserva de rede associado ao período de postergação; e</w:t>
            </w:r>
          </w:p>
        </w:tc>
        <w:tc>
          <w:tcPr>
            <w:tcW w:w="1205" w:type="dxa"/>
            <w:tcBorders>
              <w:top w:val="single" w:sz="3" w:space="0" w:color="000000"/>
              <w:left w:val="single" w:sz="3" w:space="0" w:color="000000"/>
              <w:bottom w:val="single" w:sz="3" w:space="0" w:color="000000"/>
              <w:right w:val="single" w:sz="3" w:space="0" w:color="000000"/>
            </w:tcBorders>
            <w:vAlign w:val="center"/>
          </w:tcPr>
          <w:p w14:paraId="01619D45"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8DB1232"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9128388"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2061D7B" w14:textId="77777777" w:rsidR="007E13DE" w:rsidRDefault="00000000">
            <w:pPr>
              <w:spacing w:after="0"/>
              <w:ind w:left="370"/>
              <w:jc w:val="both"/>
            </w:pPr>
            <w:r>
              <w:rPr>
                <w:rFonts w:ascii="Times New Roman" w:eastAsia="Times New Roman" w:hAnsi="Times New Roman" w:cs="Times New Roman"/>
                <w:sz w:val="8"/>
              </w:rPr>
              <w:t>e) Estabelecer que a Autorização da ANEEL para a unidade consumidora acessar a Rede Básica somente poderá ser solicitada e emitida após a assinatura do respectivo CUST.</w:t>
            </w:r>
          </w:p>
        </w:tc>
        <w:tc>
          <w:tcPr>
            <w:tcW w:w="1205" w:type="dxa"/>
            <w:tcBorders>
              <w:top w:val="single" w:sz="3" w:space="0" w:color="000000"/>
              <w:left w:val="single" w:sz="3" w:space="0" w:color="000000"/>
              <w:bottom w:val="single" w:sz="3" w:space="0" w:color="000000"/>
              <w:right w:val="single" w:sz="3" w:space="0" w:color="000000"/>
            </w:tcBorders>
          </w:tcPr>
          <w:p w14:paraId="5FA5CDD0"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76D589C0"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04F30C44"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564CF11D" w14:textId="77777777" w:rsidR="007E13DE" w:rsidRDefault="00000000">
            <w:pPr>
              <w:spacing w:after="0"/>
              <w:ind w:left="2"/>
            </w:pPr>
            <w:r>
              <w:rPr>
                <w:rFonts w:ascii="Times New Roman" w:eastAsia="Times New Roman" w:hAnsi="Times New Roman" w:cs="Times New Roman"/>
                <w:sz w:val="8"/>
              </w:rPr>
              <w:t>56. No texto proposto para o Módulo 5 das Regras de Transmissão, em anexo, também foram incluídas correções de erros materiais identificados na versão atual dos documentos, as quais também estão devidamente destacadas.</w:t>
            </w:r>
          </w:p>
        </w:tc>
        <w:tc>
          <w:tcPr>
            <w:tcW w:w="1205" w:type="dxa"/>
            <w:tcBorders>
              <w:top w:val="single" w:sz="3" w:space="0" w:color="000000"/>
              <w:left w:val="single" w:sz="3" w:space="0" w:color="000000"/>
              <w:bottom w:val="single" w:sz="3" w:space="0" w:color="000000"/>
              <w:right w:val="single" w:sz="3" w:space="0" w:color="000000"/>
            </w:tcBorders>
          </w:tcPr>
          <w:p w14:paraId="60CAD759"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60B46E29"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21F0C9EB"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7B2A395B" w14:textId="77777777" w:rsidR="007E13DE" w:rsidRDefault="00000000">
            <w:pPr>
              <w:spacing w:after="11"/>
              <w:ind w:left="2"/>
            </w:pPr>
            <w:r>
              <w:rPr>
                <w:rFonts w:ascii="Times New Roman" w:eastAsia="Times New Roman" w:hAnsi="Times New Roman" w:cs="Times New Roman"/>
                <w:sz w:val="8"/>
              </w:rPr>
              <w:t xml:space="preserve">57. A seguir, justificaremos as adaptações que tiveram que ser realizadas no texto normativo proposto para o Módulo 5 das Regras de </w:t>
            </w:r>
          </w:p>
          <w:p w14:paraId="1DE76227" w14:textId="77777777" w:rsidR="007E13DE" w:rsidRDefault="00000000">
            <w:pPr>
              <w:spacing w:after="0"/>
              <w:ind w:left="2"/>
            </w:pPr>
            <w:r>
              <w:rPr>
                <w:rFonts w:ascii="Times New Roman" w:eastAsia="Times New Roman" w:hAnsi="Times New Roman" w:cs="Times New Roman"/>
                <w:sz w:val="8"/>
              </w:rPr>
              <w:t>Transmissão, de maneira a adaptar as medidas a serem adotadas para o caso das unidades consumidoras que se conectarão à Rede Básica.</w:t>
            </w:r>
          </w:p>
        </w:tc>
        <w:tc>
          <w:tcPr>
            <w:tcW w:w="5172" w:type="dxa"/>
            <w:gridSpan w:val="2"/>
            <w:vMerge w:val="restart"/>
            <w:tcBorders>
              <w:top w:val="single" w:sz="3" w:space="0" w:color="000000"/>
              <w:left w:val="single" w:sz="3" w:space="0" w:color="000000"/>
              <w:bottom w:val="single" w:sz="3" w:space="0" w:color="000000"/>
              <w:right w:val="nil"/>
            </w:tcBorders>
          </w:tcPr>
          <w:p w14:paraId="50AD4304" w14:textId="77777777" w:rsidR="007E13DE" w:rsidRDefault="007E13DE"/>
        </w:tc>
      </w:tr>
      <w:tr w:rsidR="007E13DE" w14:paraId="4D3F360D"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2D7F1191" w14:textId="77777777" w:rsidR="007E13DE" w:rsidRDefault="00000000">
            <w:pPr>
              <w:spacing w:after="0"/>
              <w:ind w:left="2"/>
            </w:pPr>
            <w:r>
              <w:rPr>
                <w:rFonts w:ascii="Times New Roman" w:eastAsia="Times New Roman" w:hAnsi="Times New Roman" w:cs="Times New Roman"/>
                <w:sz w:val="8"/>
              </w:rPr>
              <w:t>58. A inclusão da divulgação de margem de potência disponível no sistema pelo ONS aprovada para o caso da centrais geradoras foi retirada para o caso dos consumidores. Avaliando o Relatório de Análise de Impacto Regulatório nº 1/2023-STD-SCE-SGM/ANEEL e a Nota Técnica nº 71/2023STD-SCE-SGM/ANEEL, ambos de 28 de agosto de 2023, que motivaram a aprovação da Resolução Normativa nº 1.069, de 29 de agosto de 2023, verifica-se que a inclusão da divulgação de margem de potência disponível no sistema pelo ONS foi proposta no sentido de substituir o documento de informação de acesso, que era emitido apenas para os geradores.</w:t>
            </w:r>
          </w:p>
        </w:tc>
        <w:tc>
          <w:tcPr>
            <w:tcW w:w="0" w:type="auto"/>
            <w:gridSpan w:val="2"/>
            <w:vMerge/>
            <w:tcBorders>
              <w:top w:val="nil"/>
              <w:left w:val="single" w:sz="3" w:space="0" w:color="000000"/>
              <w:bottom w:val="nil"/>
              <w:right w:val="nil"/>
            </w:tcBorders>
          </w:tcPr>
          <w:p w14:paraId="7ED1AF4E" w14:textId="77777777" w:rsidR="007E13DE" w:rsidRDefault="007E13DE"/>
        </w:tc>
      </w:tr>
      <w:tr w:rsidR="007E13DE" w14:paraId="048962B1"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D096E29" w14:textId="77777777" w:rsidR="007E13DE" w:rsidRDefault="00000000">
            <w:pPr>
              <w:spacing w:after="0"/>
              <w:ind w:left="2"/>
            </w:pPr>
            <w:r>
              <w:rPr>
                <w:rFonts w:ascii="Times New Roman" w:eastAsia="Times New Roman" w:hAnsi="Times New Roman" w:cs="Times New Roman"/>
                <w:sz w:val="8"/>
              </w:rPr>
              <w:t>59. A referida informação de acesso se tratava de um documento emitido pelo ONS apenas para os geradores, o qual atestava a viabilidade do acesso de maneira preliminar, não se constituindo uma garantia ou direito de acesso ao sistema.</w:t>
            </w:r>
          </w:p>
        </w:tc>
        <w:tc>
          <w:tcPr>
            <w:tcW w:w="0" w:type="auto"/>
            <w:gridSpan w:val="2"/>
            <w:vMerge/>
            <w:tcBorders>
              <w:top w:val="nil"/>
              <w:left w:val="single" w:sz="3" w:space="0" w:color="000000"/>
              <w:bottom w:val="nil"/>
              <w:right w:val="nil"/>
            </w:tcBorders>
          </w:tcPr>
          <w:p w14:paraId="3DD3E1C7" w14:textId="77777777" w:rsidR="007E13DE" w:rsidRDefault="007E13DE"/>
        </w:tc>
      </w:tr>
      <w:tr w:rsidR="007E13DE" w14:paraId="6A61E7D3"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59BDA26" w14:textId="77777777" w:rsidR="007E13DE" w:rsidRDefault="00000000">
            <w:pPr>
              <w:spacing w:after="0"/>
              <w:ind w:left="2"/>
            </w:pPr>
            <w:r>
              <w:rPr>
                <w:rFonts w:ascii="Times New Roman" w:eastAsia="Times New Roman" w:hAnsi="Times New Roman" w:cs="Times New Roman"/>
                <w:sz w:val="8"/>
              </w:rPr>
              <w:t>60. Além disso, antes do início da vigência das alterações normativas trazidas pela REN 1069/2023, a referida informação de acesso era um documento necessário para a solicitação da outorga do empreendimento de geração.</w:t>
            </w:r>
          </w:p>
        </w:tc>
        <w:tc>
          <w:tcPr>
            <w:tcW w:w="0" w:type="auto"/>
            <w:gridSpan w:val="2"/>
            <w:vMerge/>
            <w:tcBorders>
              <w:top w:val="nil"/>
              <w:left w:val="single" w:sz="3" w:space="0" w:color="000000"/>
              <w:bottom w:val="single" w:sz="3" w:space="0" w:color="000000"/>
              <w:right w:val="nil"/>
            </w:tcBorders>
          </w:tcPr>
          <w:p w14:paraId="670C9FF8" w14:textId="77777777" w:rsidR="007E13DE" w:rsidRDefault="007E13DE"/>
        </w:tc>
      </w:tr>
      <w:tr w:rsidR="007E13DE" w14:paraId="6C6333CE"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490777B9" w14:textId="77777777" w:rsidR="007E13DE" w:rsidRDefault="00000000">
            <w:pPr>
              <w:spacing w:after="0"/>
              <w:ind w:left="2"/>
            </w:pPr>
            <w:r>
              <w:rPr>
                <w:rFonts w:ascii="Times New Roman" w:eastAsia="Times New Roman" w:hAnsi="Times New Roman" w:cs="Times New Roman"/>
                <w:sz w:val="8"/>
              </w:rPr>
              <w:t>61. Como o rito de acesso dos consumidores nunca contemplou esta avaliação preliminar de acesso pelo ONS, sendo ela realizada quando da análise pelo MME para emissão da sua portaria, entendemos que a inclusão da divulgação de margem de potência disponível no sistema pelo ONS não deve ser incluída para o caso dos consumidores, pois esta inclusão adicionaria uma obrigação ao ONS sem proporcionar um benefício significativo.</w:t>
            </w:r>
          </w:p>
        </w:tc>
        <w:tc>
          <w:tcPr>
            <w:tcW w:w="1205" w:type="dxa"/>
            <w:tcBorders>
              <w:top w:val="single" w:sz="3" w:space="0" w:color="000000"/>
              <w:left w:val="single" w:sz="3" w:space="0" w:color="000000"/>
              <w:bottom w:val="single" w:sz="3" w:space="0" w:color="000000"/>
              <w:right w:val="single" w:sz="3" w:space="0" w:color="000000"/>
            </w:tcBorders>
            <w:vAlign w:val="center"/>
          </w:tcPr>
          <w:p w14:paraId="3E88C787"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205B5F49"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250E03DF"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34C76032" w14:textId="77777777" w:rsidR="007E13DE" w:rsidRDefault="00000000">
            <w:pPr>
              <w:spacing w:after="0"/>
              <w:ind w:left="2"/>
            </w:pPr>
            <w:r>
              <w:rPr>
                <w:rFonts w:ascii="Times New Roman" w:eastAsia="Times New Roman" w:hAnsi="Times New Roman" w:cs="Times New Roman"/>
                <w:sz w:val="8"/>
              </w:rPr>
              <w:t>62. Com relação à necessidade de aporte de garantias financeiras para solicitar o Parecer de Acesso ao ONS e para celebração de CUST ou de termo aditivo ao CUST que inclua novo PONTO DE CONEXÃO, foi necessária adequação dos seus cálculos, tendo em vista que os consumidores possuem duas tarifas, uma para cada horário de contratação (horário de ponta e horário fora de ponta).</w:t>
            </w:r>
          </w:p>
        </w:tc>
        <w:tc>
          <w:tcPr>
            <w:tcW w:w="1205" w:type="dxa"/>
            <w:tcBorders>
              <w:top w:val="single" w:sz="3" w:space="0" w:color="000000"/>
              <w:left w:val="single" w:sz="3" w:space="0" w:color="000000"/>
              <w:bottom w:val="single" w:sz="3" w:space="0" w:color="000000"/>
              <w:right w:val="single" w:sz="3" w:space="0" w:color="000000"/>
            </w:tcBorders>
            <w:vAlign w:val="center"/>
          </w:tcPr>
          <w:p w14:paraId="5FC22977"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36BDA920"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216B260"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5B75449" w14:textId="77777777" w:rsidR="007E13DE" w:rsidRDefault="00000000">
            <w:pPr>
              <w:spacing w:after="0"/>
              <w:ind w:left="2"/>
            </w:pPr>
            <w:r>
              <w:rPr>
                <w:rFonts w:ascii="Times New Roman" w:eastAsia="Times New Roman" w:hAnsi="Times New Roman" w:cs="Times New Roman"/>
                <w:sz w:val="8"/>
              </w:rPr>
              <w:t>63. Desta forma, a formulação proposta no Módulo 5 das Regras de Transmissão passou a ter duas parcelas, sendo um referente ao horário de ponta e outra referente ao horário fora de ponta.</w:t>
            </w:r>
          </w:p>
        </w:tc>
        <w:tc>
          <w:tcPr>
            <w:tcW w:w="1205" w:type="dxa"/>
            <w:tcBorders>
              <w:top w:val="single" w:sz="3" w:space="0" w:color="000000"/>
              <w:left w:val="single" w:sz="3" w:space="0" w:color="000000"/>
              <w:bottom w:val="single" w:sz="3" w:space="0" w:color="000000"/>
              <w:right w:val="single" w:sz="3" w:space="0" w:color="000000"/>
            </w:tcBorders>
          </w:tcPr>
          <w:p w14:paraId="052938E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979D615"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367410C0"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6BC60967" w14:textId="77777777" w:rsidR="007E13DE" w:rsidRDefault="00000000">
            <w:pPr>
              <w:spacing w:after="0"/>
              <w:ind w:left="2" w:right="8"/>
            </w:pPr>
            <w:r>
              <w:rPr>
                <w:rFonts w:ascii="Times New Roman" w:eastAsia="Times New Roman" w:hAnsi="Times New Roman" w:cs="Times New Roman"/>
                <w:sz w:val="8"/>
              </w:rPr>
              <w:lastRenderedPageBreak/>
              <w:t>64. Conforme pode ser observado no Relatório de Análise de Impacto Regulatório nº 1/2023-STD-SCE-SGM/ANEEL e na Nota Técnica nº 71/2023STD-SCE-SGM/ANEEL, a motivação para o estabelecimento das garantias financeiras para solicitar o Parecer de Acesso é que existe uma reserva antecipada de rede durante o período de até 90 dias que decorre entre a emissão do Parecer de Acesso e a assinatura do CUST.</w:t>
            </w:r>
          </w:p>
        </w:tc>
        <w:tc>
          <w:tcPr>
            <w:tcW w:w="5172" w:type="dxa"/>
            <w:gridSpan w:val="2"/>
            <w:vMerge w:val="restart"/>
            <w:tcBorders>
              <w:top w:val="single" w:sz="3" w:space="0" w:color="000000"/>
              <w:left w:val="single" w:sz="3" w:space="0" w:color="000000"/>
              <w:bottom w:val="single" w:sz="3" w:space="0" w:color="000000"/>
              <w:right w:val="nil"/>
            </w:tcBorders>
          </w:tcPr>
          <w:p w14:paraId="2763B06D" w14:textId="77777777" w:rsidR="007E13DE" w:rsidRDefault="007E13DE"/>
        </w:tc>
      </w:tr>
      <w:tr w:rsidR="007E13DE" w14:paraId="41E3F10C"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DB376B6" w14:textId="77777777" w:rsidR="007E13DE" w:rsidRDefault="00000000">
            <w:pPr>
              <w:spacing w:after="0"/>
              <w:ind w:left="2" w:right="9"/>
            </w:pPr>
            <w:r>
              <w:rPr>
                <w:rFonts w:ascii="Times New Roman" w:eastAsia="Times New Roman" w:hAnsi="Times New Roman" w:cs="Times New Roman"/>
                <w:sz w:val="8"/>
              </w:rPr>
              <w:t>65. Os consumidores podem contratar o MUST de maneira escalonada. Nesta situação, o que ocorre na prática é que a mencionada reserva da rede seria no MUST de maior valor, pois a maior parte dos usuários do sistema de transmissão contratam o MUST de maneira permanente ou por longos prazos.</w:t>
            </w:r>
          </w:p>
        </w:tc>
        <w:tc>
          <w:tcPr>
            <w:tcW w:w="0" w:type="auto"/>
            <w:gridSpan w:val="2"/>
            <w:vMerge/>
            <w:tcBorders>
              <w:top w:val="nil"/>
              <w:left w:val="single" w:sz="3" w:space="0" w:color="000000"/>
              <w:bottom w:val="single" w:sz="3" w:space="0" w:color="000000"/>
              <w:right w:val="nil"/>
            </w:tcBorders>
          </w:tcPr>
          <w:p w14:paraId="08DDD93F" w14:textId="77777777" w:rsidR="007E13DE" w:rsidRDefault="007E13DE"/>
        </w:tc>
      </w:tr>
      <w:tr w:rsidR="007E13DE" w14:paraId="5729ECBD"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0A324CF" w14:textId="77777777" w:rsidR="007E13DE" w:rsidRDefault="00000000">
            <w:pPr>
              <w:spacing w:after="0"/>
              <w:ind w:left="2"/>
            </w:pPr>
            <w:r>
              <w:rPr>
                <w:rFonts w:ascii="Times New Roman" w:eastAsia="Times New Roman" w:hAnsi="Times New Roman" w:cs="Times New Roman"/>
                <w:sz w:val="8"/>
              </w:rPr>
              <w:t>66. Sendo assim, com relação ao aporte de garantias financeiras para solicitar o Parecer de Acesso, foi necessário indicar que o MUST a ser considerado deve ser o maior MUST dentro os solicitados no Parecer de Acesso e os indicados no estudo de mínimo custo global que motivou a emissão da Portaria do MME, para cada horário de contratação.</w:t>
            </w:r>
          </w:p>
        </w:tc>
        <w:tc>
          <w:tcPr>
            <w:tcW w:w="1205" w:type="dxa"/>
            <w:tcBorders>
              <w:top w:val="single" w:sz="3" w:space="0" w:color="000000"/>
              <w:left w:val="single" w:sz="3" w:space="0" w:color="000000"/>
              <w:bottom w:val="single" w:sz="3" w:space="0" w:color="000000"/>
              <w:right w:val="single" w:sz="3" w:space="0" w:color="000000"/>
            </w:tcBorders>
            <w:vAlign w:val="center"/>
          </w:tcPr>
          <w:p w14:paraId="6DC81607"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3001FBE9"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23822398"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7E6BF95B" w14:textId="77777777" w:rsidR="007E13DE" w:rsidRDefault="00000000">
            <w:pPr>
              <w:spacing w:after="0"/>
              <w:ind w:left="2"/>
            </w:pPr>
            <w:r>
              <w:rPr>
                <w:rFonts w:ascii="Times New Roman" w:eastAsia="Times New Roman" w:hAnsi="Times New Roman" w:cs="Times New Roman"/>
                <w:sz w:val="8"/>
              </w:rPr>
              <w:t>67. Com relação a data máxima permitida para início de contratação do MUST prevista no CUST originalmente celebrado, propõe-se adotar a mesma data prevista no estudo de mínimo custo global que motivou a emissão da Portaria do MME. Desta forma, o prazo de implantação será compatível com as necessidades da unidade consumidora, uma vez que foi ela mesma que o informou na fase de emissão da portaria.</w:t>
            </w:r>
          </w:p>
        </w:tc>
        <w:tc>
          <w:tcPr>
            <w:tcW w:w="1205" w:type="dxa"/>
            <w:tcBorders>
              <w:top w:val="single" w:sz="3" w:space="0" w:color="000000"/>
              <w:left w:val="single" w:sz="3" w:space="0" w:color="000000"/>
              <w:bottom w:val="single" w:sz="3" w:space="0" w:color="000000"/>
              <w:right w:val="single" w:sz="3" w:space="0" w:color="000000"/>
            </w:tcBorders>
            <w:vAlign w:val="center"/>
          </w:tcPr>
          <w:p w14:paraId="0F4A0B14"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2697AADA"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06B6FE84"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529C531D" w14:textId="77777777" w:rsidR="007E13DE" w:rsidRDefault="00000000">
            <w:pPr>
              <w:spacing w:after="0"/>
              <w:ind w:left="2"/>
            </w:pPr>
            <w:r>
              <w:rPr>
                <w:rFonts w:ascii="Times New Roman" w:eastAsia="Times New Roman" w:hAnsi="Times New Roman" w:cs="Times New Roman"/>
                <w:sz w:val="8"/>
              </w:rPr>
              <w:t>68. De modo a evitar que o sistema elétrico seja planejado para a tomada de carga de um consumidor que não venha a se efetivar, propõe-se que a data de início de contratação do MUST prevista no CUST originalmente celebrado somente poderá ser postergada uma única vez e por até 12 meses, mediante pagamento de encargo de reserva de rede. Desta forma, alterações na Portaria do MME ou da Autorização da ANEEL não poderão interferir na data de início de contratação do MUST prevista no CUST originalmente celebrado, estimulando que o consumidor informe as datas de contratação desde o início do processo.</w:t>
            </w:r>
          </w:p>
        </w:tc>
        <w:tc>
          <w:tcPr>
            <w:tcW w:w="1205" w:type="dxa"/>
            <w:tcBorders>
              <w:top w:val="single" w:sz="3" w:space="0" w:color="000000"/>
              <w:left w:val="single" w:sz="3" w:space="0" w:color="000000"/>
              <w:bottom w:val="single" w:sz="3" w:space="0" w:color="000000"/>
              <w:right w:val="single" w:sz="3" w:space="0" w:color="000000"/>
            </w:tcBorders>
            <w:vAlign w:val="center"/>
          </w:tcPr>
          <w:p w14:paraId="522D51A8"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2FA276DE"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46572B5"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354EB597" w14:textId="77777777" w:rsidR="007E13DE" w:rsidRDefault="00000000">
            <w:pPr>
              <w:spacing w:after="0"/>
              <w:ind w:left="2"/>
            </w:pPr>
            <w:r>
              <w:rPr>
                <w:rFonts w:ascii="Times New Roman" w:eastAsia="Times New Roman" w:hAnsi="Times New Roman" w:cs="Times New Roman"/>
                <w:sz w:val="8"/>
              </w:rPr>
              <w:t>69. As alterações propostas nos dois itens anteriores comportam os casos em que a previsão de contratação de MUST pelos consumidores se dá de forma escalonada, sendo atingido o valor máximo previsto somente após decorrido determinado período.</w:t>
            </w:r>
          </w:p>
        </w:tc>
        <w:tc>
          <w:tcPr>
            <w:tcW w:w="1205" w:type="dxa"/>
            <w:tcBorders>
              <w:top w:val="single" w:sz="3" w:space="0" w:color="000000"/>
              <w:left w:val="single" w:sz="3" w:space="0" w:color="000000"/>
              <w:bottom w:val="single" w:sz="3" w:space="0" w:color="000000"/>
              <w:right w:val="single" w:sz="3" w:space="0" w:color="000000"/>
            </w:tcBorders>
          </w:tcPr>
          <w:p w14:paraId="27993F11"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3D154784"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6B38D56"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72EE8F33" w14:textId="77777777" w:rsidR="007E13DE" w:rsidRDefault="00000000">
            <w:pPr>
              <w:spacing w:after="0"/>
              <w:ind w:left="2"/>
            </w:pPr>
            <w:r>
              <w:rPr>
                <w:rFonts w:ascii="Times New Roman" w:eastAsia="Times New Roman" w:hAnsi="Times New Roman" w:cs="Times New Roman"/>
                <w:sz w:val="8"/>
              </w:rPr>
              <w:t>70. Com relação às garantias financeiras exigidas do consumidor para a celebração do CUST e a possibilidade de sua execução, algumas alterações tiveram que ser realizadas para que o objetivo de incentivar a contratação responsável do uso do sistema de transmissão seja atingido.</w:t>
            </w:r>
          </w:p>
        </w:tc>
        <w:tc>
          <w:tcPr>
            <w:tcW w:w="1205" w:type="dxa"/>
            <w:tcBorders>
              <w:top w:val="single" w:sz="3" w:space="0" w:color="000000"/>
              <w:left w:val="single" w:sz="3" w:space="0" w:color="000000"/>
              <w:bottom w:val="single" w:sz="3" w:space="0" w:color="000000"/>
              <w:right w:val="single" w:sz="3" w:space="0" w:color="000000"/>
            </w:tcBorders>
            <w:vAlign w:val="center"/>
          </w:tcPr>
          <w:p w14:paraId="44F884B3"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0D079388"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39ECF12"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14220A4" w14:textId="77777777" w:rsidR="007E13DE" w:rsidRDefault="00000000">
            <w:pPr>
              <w:spacing w:after="0"/>
              <w:ind w:left="2"/>
            </w:pPr>
            <w:r>
              <w:rPr>
                <w:rFonts w:ascii="Times New Roman" w:eastAsia="Times New Roman" w:hAnsi="Times New Roman" w:cs="Times New Roman"/>
                <w:sz w:val="8"/>
              </w:rPr>
              <w:t>71. Conforme o item 4.3 da Seção 5.2 do Módulo 5 das Regras de Transmissão, os CUST celebrados em caráter permanente por unidades consumidoras deverão conter os MUST para os 4 anos civis subsequentes.</w:t>
            </w:r>
          </w:p>
        </w:tc>
        <w:tc>
          <w:tcPr>
            <w:tcW w:w="1205" w:type="dxa"/>
            <w:tcBorders>
              <w:top w:val="single" w:sz="3" w:space="0" w:color="000000"/>
              <w:left w:val="single" w:sz="3" w:space="0" w:color="000000"/>
              <w:bottom w:val="single" w:sz="3" w:space="0" w:color="000000"/>
              <w:right w:val="single" w:sz="3" w:space="0" w:color="000000"/>
            </w:tcBorders>
          </w:tcPr>
          <w:p w14:paraId="40EB0BEB"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4351622"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368EBAEF"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E7AD2A3" w14:textId="77777777" w:rsidR="007E13DE" w:rsidRDefault="00000000">
            <w:pPr>
              <w:spacing w:after="0"/>
              <w:ind w:left="370" w:right="15"/>
            </w:pPr>
            <w:r>
              <w:rPr>
                <w:rFonts w:ascii="Times New Roman" w:eastAsia="Times New Roman" w:hAnsi="Times New Roman" w:cs="Times New Roman"/>
                <w:sz w:val="8"/>
              </w:rPr>
              <w:t>“4.3 Os CUST celebrados em caráter permanente por UNIDADES CONSUMIDORAS e AUTOPRODUTORES com carga maior que geração deverão conter os MUST para 4 (quatro) anos civis subsequentes.”</w:t>
            </w:r>
          </w:p>
        </w:tc>
        <w:tc>
          <w:tcPr>
            <w:tcW w:w="5172" w:type="dxa"/>
            <w:gridSpan w:val="2"/>
            <w:vMerge w:val="restart"/>
            <w:tcBorders>
              <w:top w:val="single" w:sz="3" w:space="0" w:color="000000"/>
              <w:left w:val="single" w:sz="3" w:space="0" w:color="000000"/>
              <w:bottom w:val="nil"/>
              <w:right w:val="nil"/>
            </w:tcBorders>
          </w:tcPr>
          <w:p w14:paraId="18EF7CAD" w14:textId="77777777" w:rsidR="007E13DE" w:rsidRDefault="007E13DE"/>
        </w:tc>
      </w:tr>
      <w:tr w:rsidR="007E13DE" w14:paraId="4D2188C3"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CA6449C" w14:textId="77777777" w:rsidR="007E13DE" w:rsidRDefault="00000000">
            <w:pPr>
              <w:spacing w:after="0"/>
              <w:ind w:left="2"/>
            </w:pPr>
            <w:r>
              <w:rPr>
                <w:rFonts w:ascii="Times New Roman" w:eastAsia="Times New Roman" w:hAnsi="Times New Roman" w:cs="Times New Roman"/>
                <w:sz w:val="8"/>
              </w:rPr>
              <w:t>72. Isto significa que os consumidores que celebram o CUST com data de início de execução futura devem, segundo o regulamento atual, contratar apenas o MUST para os quatro anos civis subsequentes em relação a data presente e não em relação à data de início de execução do CUST.</w:t>
            </w:r>
          </w:p>
        </w:tc>
        <w:tc>
          <w:tcPr>
            <w:tcW w:w="0" w:type="auto"/>
            <w:gridSpan w:val="2"/>
            <w:vMerge/>
            <w:tcBorders>
              <w:top w:val="nil"/>
              <w:left w:val="single" w:sz="3" w:space="0" w:color="000000"/>
              <w:bottom w:val="nil"/>
              <w:right w:val="nil"/>
            </w:tcBorders>
          </w:tcPr>
          <w:p w14:paraId="31A2C9B9" w14:textId="77777777" w:rsidR="007E13DE" w:rsidRDefault="007E13DE"/>
        </w:tc>
      </w:tr>
      <w:tr w:rsidR="007E13DE" w14:paraId="57B2AA78"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1A88706B" w14:textId="77777777" w:rsidR="007E13DE" w:rsidRDefault="00000000">
            <w:pPr>
              <w:spacing w:after="0"/>
              <w:ind w:left="2"/>
            </w:pPr>
            <w:r>
              <w:rPr>
                <w:rFonts w:ascii="Times New Roman" w:eastAsia="Times New Roman" w:hAnsi="Times New Roman" w:cs="Times New Roman"/>
                <w:sz w:val="8"/>
              </w:rPr>
              <w:t>73. Para exemplificar, suponha um consumidor que celebre um CUST com data de início de execução para uma data quatro anos após a data de celebração. Conforme determina a regra, será contratado o MUST para os quatro anos civis subsequentes. Neste caso, depreendemos que o MUST contratado será necessariamente nulo para os quatro primeiros anos, ou seja, será nulo por todo o período de contratação.</w:t>
            </w:r>
          </w:p>
        </w:tc>
        <w:tc>
          <w:tcPr>
            <w:tcW w:w="0" w:type="auto"/>
            <w:gridSpan w:val="2"/>
            <w:vMerge/>
            <w:tcBorders>
              <w:top w:val="nil"/>
              <w:left w:val="single" w:sz="3" w:space="0" w:color="000000"/>
              <w:bottom w:val="nil"/>
              <w:right w:val="nil"/>
            </w:tcBorders>
          </w:tcPr>
          <w:p w14:paraId="7F4D6899" w14:textId="77777777" w:rsidR="007E13DE" w:rsidRDefault="007E13DE"/>
        </w:tc>
      </w:tr>
      <w:tr w:rsidR="007E13DE" w14:paraId="7957820E"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7C42A537" w14:textId="77777777" w:rsidR="007E13DE" w:rsidRDefault="00000000">
            <w:pPr>
              <w:spacing w:after="0"/>
              <w:ind w:left="2"/>
            </w:pPr>
            <w:r>
              <w:rPr>
                <w:rFonts w:ascii="Times New Roman" w:eastAsia="Times New Roman" w:hAnsi="Times New Roman" w:cs="Times New Roman"/>
                <w:sz w:val="8"/>
              </w:rPr>
              <w:t>74. Ainda neste exemplo, quando for realizada a recontratação anual do MUST, conforme determina o item 4.3.5 da Seção 5.2 do Módulo 5 das Regras de Transmissão, o MUST contratado será necessariamente nulo para os três primeiros anos. Esta lógica se repetirá a cada ano até que o MUST deixe de ser nulo em todos os anos.</w:t>
            </w:r>
          </w:p>
        </w:tc>
        <w:tc>
          <w:tcPr>
            <w:tcW w:w="0" w:type="auto"/>
            <w:gridSpan w:val="2"/>
            <w:vMerge/>
            <w:tcBorders>
              <w:top w:val="nil"/>
              <w:left w:val="single" w:sz="3" w:space="0" w:color="000000"/>
              <w:bottom w:val="nil"/>
              <w:right w:val="nil"/>
            </w:tcBorders>
          </w:tcPr>
          <w:p w14:paraId="23C93734" w14:textId="77777777" w:rsidR="007E13DE" w:rsidRDefault="007E13DE"/>
        </w:tc>
      </w:tr>
      <w:tr w:rsidR="007E13DE" w14:paraId="7AC821B2"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2D254DD2" w14:textId="77777777" w:rsidR="007E13DE" w:rsidRDefault="00000000">
            <w:pPr>
              <w:spacing w:after="0"/>
              <w:ind w:left="2" w:right="3"/>
            </w:pPr>
            <w:r>
              <w:rPr>
                <w:rFonts w:ascii="Times New Roman" w:eastAsia="Times New Roman" w:hAnsi="Times New Roman" w:cs="Times New Roman"/>
                <w:sz w:val="8"/>
              </w:rPr>
              <w:t>75. Isto gera consequências para o pagamento dos encargos rescisórios em uma eventual rescisão do CUST ou descontratação de um ponto de conexão, tendo em vista que, conforme os itens 4.3.7 e 4.3.8 da Seção 5.2 do Módulo 5 das Regras de Transmissão, os encargos rescisórios são calculados, por ponto de conexão, multiplicando-se a TUST vigente no mês subsequente à rescisão ou descontratação e os MUST rescindidos ou descontratados, por horário de contratação, até o fim do período de contratação.</w:t>
            </w:r>
          </w:p>
        </w:tc>
        <w:tc>
          <w:tcPr>
            <w:tcW w:w="0" w:type="auto"/>
            <w:gridSpan w:val="2"/>
            <w:vMerge/>
            <w:tcBorders>
              <w:top w:val="nil"/>
              <w:left w:val="single" w:sz="3" w:space="0" w:color="000000"/>
              <w:bottom w:val="nil"/>
              <w:right w:val="nil"/>
            </w:tcBorders>
          </w:tcPr>
          <w:p w14:paraId="0B273926" w14:textId="77777777" w:rsidR="007E13DE" w:rsidRDefault="007E13DE"/>
        </w:tc>
      </w:tr>
      <w:tr w:rsidR="007E13DE" w14:paraId="607BE2F3"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AC1A106" w14:textId="77777777" w:rsidR="007E13DE" w:rsidRDefault="00000000">
            <w:pPr>
              <w:spacing w:after="0"/>
              <w:ind w:left="370" w:right="29"/>
            </w:pPr>
            <w:r>
              <w:rPr>
                <w:rFonts w:ascii="Times New Roman" w:eastAsia="Times New Roman" w:hAnsi="Times New Roman" w:cs="Times New Roman"/>
                <w:sz w:val="8"/>
              </w:rPr>
              <w:t>“4.3.7 Em caso de descontratação de um PONTO DE CONEXÃO, os EUST devidos serão calculados multiplicando-se a TUST vigente no mês subsequente à descontratação e os MUST descontratados, por horário de contratação, até o fim do período de contratação, sendo que a liquidação ocorrerá na primeira apuração mensal de serviços e encargos subsequente.</w:t>
            </w:r>
          </w:p>
        </w:tc>
        <w:tc>
          <w:tcPr>
            <w:tcW w:w="0" w:type="auto"/>
            <w:gridSpan w:val="2"/>
            <w:vMerge/>
            <w:tcBorders>
              <w:top w:val="nil"/>
              <w:left w:val="single" w:sz="3" w:space="0" w:color="000000"/>
              <w:bottom w:val="nil"/>
              <w:right w:val="nil"/>
            </w:tcBorders>
          </w:tcPr>
          <w:p w14:paraId="214B4AA8" w14:textId="77777777" w:rsidR="007E13DE" w:rsidRDefault="007E13DE"/>
        </w:tc>
      </w:tr>
    </w:tbl>
    <w:p w14:paraId="0BBE6EE7" w14:textId="77777777" w:rsidR="007E13DE" w:rsidRDefault="007E13DE">
      <w:pPr>
        <w:spacing w:after="0"/>
        <w:ind w:left="-1440" w:right="8626"/>
      </w:pPr>
    </w:p>
    <w:tbl>
      <w:tblPr>
        <w:tblStyle w:val="TableGrid"/>
        <w:tblW w:w="10334" w:type="dxa"/>
        <w:tblInd w:w="-690" w:type="dxa"/>
        <w:tblCellMar>
          <w:top w:w="0" w:type="dxa"/>
          <w:left w:w="18" w:type="dxa"/>
          <w:bottom w:w="0" w:type="dxa"/>
          <w:right w:w="2" w:type="dxa"/>
        </w:tblCellMar>
        <w:tblLook w:val="04A0" w:firstRow="1" w:lastRow="0" w:firstColumn="1" w:lastColumn="0" w:noHBand="0" w:noVBand="1"/>
      </w:tblPr>
      <w:tblGrid>
        <w:gridCol w:w="5162"/>
        <w:gridCol w:w="1205"/>
        <w:gridCol w:w="3967"/>
      </w:tblGrid>
      <w:tr w:rsidR="007E13DE" w14:paraId="65C73FEF"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23B1599A" w14:textId="77777777" w:rsidR="007E13DE" w:rsidRDefault="00000000">
            <w:pPr>
              <w:spacing w:after="0"/>
              <w:ind w:left="5"/>
              <w:jc w:val="center"/>
            </w:pPr>
            <w:r>
              <w:rPr>
                <w:rFonts w:ascii="Times New Roman" w:eastAsia="Times New Roman" w:hAnsi="Times New Roman" w:cs="Times New Roman"/>
                <w:color w:val="0000FF"/>
                <w:sz w:val="11"/>
              </w:rPr>
              <w:t>CONTRIBUIÇÃO REFERENTE À CONSULTA PÚBLICA Nº 023/2024</w:t>
            </w:r>
          </w:p>
        </w:tc>
      </w:tr>
      <w:tr w:rsidR="007E13DE" w14:paraId="3E19A9D8"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7ECAF9C" w14:textId="77777777" w:rsidR="007E13DE" w:rsidRDefault="00000000">
            <w:pPr>
              <w:spacing w:after="0"/>
              <w:ind w:right="9"/>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7DA0BBC5"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7995A9D1" w14:textId="77777777" w:rsidR="007E13DE" w:rsidRDefault="00000000">
            <w:pPr>
              <w:tabs>
                <w:tab w:val="center" w:pos="727"/>
                <w:tab w:val="center" w:pos="5157"/>
              </w:tabs>
              <w:spacing w:after="0"/>
            </w:pPr>
            <w:r>
              <w:tab/>
            </w:r>
            <w:r>
              <w:rPr>
                <w:noProof/>
              </w:rPr>
              <w:drawing>
                <wp:inline distT="0" distB="0" distL="0" distR="0" wp14:anchorId="19B7792B" wp14:editId="2EB02064">
                  <wp:extent cx="438912" cy="291084"/>
                  <wp:effectExtent l="0" t="0" r="0" b="0"/>
                  <wp:docPr id="1444" name="Picture 1444"/>
                  <wp:cNvGraphicFramePr/>
                  <a:graphic xmlns:a="http://schemas.openxmlformats.org/drawingml/2006/main">
                    <a:graphicData uri="http://schemas.openxmlformats.org/drawingml/2006/picture">
                      <pic:pic xmlns:pic="http://schemas.openxmlformats.org/drawingml/2006/picture">
                        <pic:nvPicPr>
                          <pic:cNvPr id="1444" name="Picture 1444"/>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1BE737F4"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1A5076B8" w14:textId="77777777" w:rsidR="007E13DE" w:rsidRDefault="00000000">
            <w:pPr>
              <w:spacing w:after="0"/>
              <w:ind w:left="2"/>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735EFA9C"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105A4D95" w14:textId="77777777" w:rsidR="007E13DE" w:rsidRDefault="00000000">
            <w:pPr>
              <w:spacing w:after="0"/>
              <w:ind w:right="6"/>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13825E79"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1DC11654" w14:textId="77777777" w:rsidR="007E13DE" w:rsidRDefault="00000000">
            <w:pPr>
              <w:spacing w:after="0"/>
              <w:ind w:right="10"/>
              <w:jc w:val="center"/>
            </w:pPr>
            <w:r>
              <w:rPr>
                <w:rFonts w:ascii="Times New Roman" w:eastAsia="Times New Roman" w:hAnsi="Times New Roman" w:cs="Times New Roman"/>
                <w:color w:val="0000FF"/>
                <w:sz w:val="10"/>
              </w:rPr>
              <w:t>CONTRIBUIÇÕES RECEBIDAS</w:t>
            </w:r>
          </w:p>
        </w:tc>
      </w:tr>
      <w:tr w:rsidR="007E13DE" w14:paraId="3D4BB081"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0B6F0627"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79519E62" w14:textId="77777777">
        <w:trPr>
          <w:trHeight w:val="79"/>
        </w:trPr>
        <w:tc>
          <w:tcPr>
            <w:tcW w:w="5162" w:type="dxa"/>
            <w:tcBorders>
              <w:top w:val="double" w:sz="5" w:space="0" w:color="000000"/>
              <w:left w:val="single" w:sz="5" w:space="0" w:color="000000"/>
              <w:bottom w:val="double" w:sz="5" w:space="0" w:color="000000"/>
              <w:right w:val="single" w:sz="5" w:space="0" w:color="000000"/>
            </w:tcBorders>
          </w:tcPr>
          <w:p w14:paraId="1BBF1065" w14:textId="77777777" w:rsidR="007E13DE" w:rsidRDefault="00000000">
            <w:pPr>
              <w:spacing w:after="0"/>
              <w:ind w:right="9"/>
              <w:jc w:val="center"/>
            </w:pPr>
            <w:r>
              <w:rPr>
                <w:rFonts w:ascii="Times New Roman" w:eastAsia="Times New Roman" w:hAnsi="Times New Roman" w:cs="Times New Roman"/>
                <w:color w:val="FFFFFF"/>
                <w:sz w:val="10"/>
              </w:rPr>
              <w:t xml:space="preserve">TEXTO/ANEEL </w:t>
            </w:r>
          </w:p>
        </w:tc>
        <w:tc>
          <w:tcPr>
            <w:tcW w:w="1205" w:type="dxa"/>
            <w:vMerge w:val="restart"/>
            <w:tcBorders>
              <w:top w:val="double" w:sz="5" w:space="0" w:color="000000"/>
              <w:left w:val="single" w:sz="3" w:space="0" w:color="000000"/>
              <w:bottom w:val="single" w:sz="3" w:space="0" w:color="000000"/>
              <w:right w:val="nil"/>
            </w:tcBorders>
          </w:tcPr>
          <w:p w14:paraId="0BE4A9C4" w14:textId="77777777" w:rsidR="007E13DE" w:rsidRDefault="00000000">
            <w:pPr>
              <w:spacing w:after="0"/>
              <w:ind w:right="8"/>
              <w:jc w:val="center"/>
            </w:pPr>
            <w:r>
              <w:rPr>
                <w:rFonts w:ascii="Times New Roman" w:eastAsia="Times New Roman" w:hAnsi="Times New Roman" w:cs="Times New Roman"/>
                <w:color w:val="FFFFFF"/>
                <w:sz w:val="8"/>
              </w:rPr>
              <w:t>TEXTO/INSTITUIÇÃO</w:t>
            </w:r>
          </w:p>
        </w:tc>
        <w:tc>
          <w:tcPr>
            <w:tcW w:w="3967" w:type="dxa"/>
            <w:vMerge w:val="restart"/>
            <w:tcBorders>
              <w:top w:val="double" w:sz="5" w:space="0" w:color="000000"/>
              <w:left w:val="nil"/>
              <w:bottom w:val="single" w:sz="3" w:space="0" w:color="000000"/>
              <w:right w:val="nil"/>
            </w:tcBorders>
          </w:tcPr>
          <w:p w14:paraId="5E518B15" w14:textId="77777777" w:rsidR="007E13DE" w:rsidRDefault="00000000">
            <w:pPr>
              <w:spacing w:after="0"/>
              <w:ind w:right="8"/>
              <w:jc w:val="center"/>
            </w:pPr>
            <w:r>
              <w:rPr>
                <w:rFonts w:ascii="Times New Roman" w:eastAsia="Times New Roman" w:hAnsi="Times New Roman" w:cs="Times New Roman"/>
                <w:color w:val="FFFFFF"/>
                <w:sz w:val="8"/>
              </w:rPr>
              <w:t>JUSTIFICATIVA/INSTITUIÇÃO</w:t>
            </w:r>
          </w:p>
        </w:tc>
      </w:tr>
      <w:tr w:rsidR="007E13DE" w14:paraId="48653A02" w14:textId="77777777">
        <w:trPr>
          <w:trHeight w:val="332"/>
        </w:trPr>
        <w:tc>
          <w:tcPr>
            <w:tcW w:w="5162" w:type="dxa"/>
            <w:tcBorders>
              <w:top w:val="double" w:sz="5" w:space="0" w:color="000000"/>
              <w:left w:val="single" w:sz="3" w:space="0" w:color="000000"/>
              <w:bottom w:val="single" w:sz="3" w:space="0" w:color="000000"/>
              <w:right w:val="single" w:sz="3" w:space="0" w:color="000000"/>
            </w:tcBorders>
          </w:tcPr>
          <w:p w14:paraId="4B361C2C" w14:textId="77777777" w:rsidR="007E13DE" w:rsidRDefault="00000000">
            <w:pPr>
              <w:spacing w:after="0"/>
              <w:ind w:left="370"/>
            </w:pPr>
            <w:r>
              <w:rPr>
                <w:rFonts w:ascii="Times New Roman" w:eastAsia="Times New Roman" w:hAnsi="Times New Roman" w:cs="Times New Roman"/>
                <w:sz w:val="8"/>
              </w:rPr>
              <w:t>4.3.8 Em caso de rescisão do CUST, os EUST devidos serão calculados, por PONTO DE CONEXÃO, multiplicando-se a TUST vigente no mês subsequente à rescisão e os MUST rescindidos, por horário de contratação, até o fim do período de contratação, sendo que a liquidação ocorrerá na primeira apuração mensal de serviços e encargos subsequente.”</w:t>
            </w:r>
          </w:p>
        </w:tc>
        <w:tc>
          <w:tcPr>
            <w:tcW w:w="0" w:type="auto"/>
            <w:vMerge/>
            <w:tcBorders>
              <w:top w:val="nil"/>
              <w:left w:val="single" w:sz="3" w:space="0" w:color="000000"/>
              <w:bottom w:val="nil"/>
              <w:right w:val="nil"/>
            </w:tcBorders>
          </w:tcPr>
          <w:p w14:paraId="75E3A683" w14:textId="77777777" w:rsidR="007E13DE" w:rsidRDefault="007E13DE"/>
        </w:tc>
        <w:tc>
          <w:tcPr>
            <w:tcW w:w="0" w:type="auto"/>
            <w:vMerge/>
            <w:tcBorders>
              <w:top w:val="nil"/>
              <w:left w:val="nil"/>
              <w:bottom w:val="nil"/>
              <w:right w:val="nil"/>
            </w:tcBorders>
          </w:tcPr>
          <w:p w14:paraId="3977EA53" w14:textId="77777777" w:rsidR="007E13DE" w:rsidRDefault="007E13DE"/>
        </w:tc>
      </w:tr>
      <w:tr w:rsidR="007E13DE" w14:paraId="14938261"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E6F3FFB" w14:textId="77777777" w:rsidR="007E13DE" w:rsidRDefault="00000000">
            <w:pPr>
              <w:spacing w:after="0"/>
              <w:ind w:left="2"/>
            </w:pPr>
            <w:r>
              <w:rPr>
                <w:rFonts w:ascii="Times New Roman" w:eastAsia="Times New Roman" w:hAnsi="Times New Roman" w:cs="Times New Roman"/>
                <w:sz w:val="8"/>
              </w:rPr>
              <w:t>76. No exemplo citado no item 73, verifica-se que o consumidor não pagará encargos rescisórios em caso de rescisão do CUST ou descontratação do ponto de conexão no mesmo ano civil da celebração do CUST.</w:t>
            </w:r>
          </w:p>
        </w:tc>
        <w:tc>
          <w:tcPr>
            <w:tcW w:w="0" w:type="auto"/>
            <w:vMerge/>
            <w:tcBorders>
              <w:top w:val="nil"/>
              <w:left w:val="single" w:sz="3" w:space="0" w:color="000000"/>
              <w:bottom w:val="nil"/>
              <w:right w:val="nil"/>
            </w:tcBorders>
          </w:tcPr>
          <w:p w14:paraId="3CF6778B" w14:textId="77777777" w:rsidR="007E13DE" w:rsidRDefault="007E13DE"/>
        </w:tc>
        <w:tc>
          <w:tcPr>
            <w:tcW w:w="0" w:type="auto"/>
            <w:vMerge/>
            <w:tcBorders>
              <w:top w:val="nil"/>
              <w:left w:val="nil"/>
              <w:bottom w:val="nil"/>
              <w:right w:val="nil"/>
            </w:tcBorders>
          </w:tcPr>
          <w:p w14:paraId="5654F6F9" w14:textId="77777777" w:rsidR="007E13DE" w:rsidRDefault="007E13DE"/>
        </w:tc>
      </w:tr>
      <w:tr w:rsidR="007E13DE" w14:paraId="0C807257"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79FD877F" w14:textId="77777777" w:rsidR="007E13DE" w:rsidRDefault="00000000">
            <w:pPr>
              <w:spacing w:after="0"/>
              <w:ind w:left="2"/>
            </w:pPr>
            <w:r>
              <w:rPr>
                <w:rFonts w:ascii="Times New Roman" w:eastAsia="Times New Roman" w:hAnsi="Times New Roman" w:cs="Times New Roman"/>
                <w:sz w:val="8"/>
              </w:rPr>
              <w:t>77. Pelo explicado, conclui-se que os encargos rescisórios podem ter valores nulos ou muito reduzidos para os consumidores no período que decorre entre a celebração do CUST e o seu início de execução. Sendo assim, entende-se que isto deve ser ajustado, de modo que seja incentivada a contratação responsável do uso do sistema de transmissão.</w:t>
            </w:r>
          </w:p>
        </w:tc>
        <w:tc>
          <w:tcPr>
            <w:tcW w:w="0" w:type="auto"/>
            <w:vMerge/>
            <w:tcBorders>
              <w:top w:val="nil"/>
              <w:left w:val="single" w:sz="3" w:space="0" w:color="000000"/>
              <w:bottom w:val="nil"/>
              <w:right w:val="nil"/>
            </w:tcBorders>
          </w:tcPr>
          <w:p w14:paraId="0E43FF30" w14:textId="77777777" w:rsidR="007E13DE" w:rsidRDefault="007E13DE"/>
        </w:tc>
        <w:tc>
          <w:tcPr>
            <w:tcW w:w="0" w:type="auto"/>
            <w:vMerge/>
            <w:tcBorders>
              <w:top w:val="nil"/>
              <w:left w:val="nil"/>
              <w:bottom w:val="nil"/>
              <w:right w:val="nil"/>
            </w:tcBorders>
          </w:tcPr>
          <w:p w14:paraId="61A18537" w14:textId="77777777" w:rsidR="007E13DE" w:rsidRDefault="007E13DE"/>
        </w:tc>
      </w:tr>
      <w:tr w:rsidR="007E13DE" w14:paraId="7C613814"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6AF218A" w14:textId="77777777" w:rsidR="007E13DE" w:rsidRDefault="00000000">
            <w:pPr>
              <w:spacing w:after="0"/>
              <w:ind w:left="2"/>
            </w:pPr>
            <w:r>
              <w:rPr>
                <w:rFonts w:ascii="Times New Roman" w:eastAsia="Times New Roman" w:hAnsi="Times New Roman" w:cs="Times New Roman"/>
                <w:sz w:val="8"/>
              </w:rPr>
              <w:t>78. Nesta linha, entendemos que a garantia financeira exigida para a celebração do CUST para os consumidores, bem como os encargos rescisórios exigidos em caso de não energização de suas instalações deve ser equivalente ao que foi exigido para o caso dos geradores.</w:t>
            </w:r>
          </w:p>
        </w:tc>
        <w:tc>
          <w:tcPr>
            <w:tcW w:w="0" w:type="auto"/>
            <w:vMerge/>
            <w:tcBorders>
              <w:top w:val="nil"/>
              <w:left w:val="single" w:sz="3" w:space="0" w:color="000000"/>
              <w:bottom w:val="nil"/>
              <w:right w:val="nil"/>
            </w:tcBorders>
          </w:tcPr>
          <w:p w14:paraId="77A66BDE" w14:textId="77777777" w:rsidR="007E13DE" w:rsidRDefault="007E13DE"/>
        </w:tc>
        <w:tc>
          <w:tcPr>
            <w:tcW w:w="0" w:type="auto"/>
            <w:vMerge/>
            <w:tcBorders>
              <w:top w:val="nil"/>
              <w:left w:val="nil"/>
              <w:bottom w:val="nil"/>
              <w:right w:val="nil"/>
            </w:tcBorders>
          </w:tcPr>
          <w:p w14:paraId="46852174" w14:textId="77777777" w:rsidR="007E13DE" w:rsidRDefault="007E13DE"/>
        </w:tc>
      </w:tr>
      <w:tr w:rsidR="007E13DE" w14:paraId="7B838BF7"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38B14868" w14:textId="77777777" w:rsidR="007E13DE" w:rsidRDefault="00000000">
            <w:pPr>
              <w:spacing w:after="0"/>
              <w:ind w:left="2"/>
            </w:pPr>
            <w:r>
              <w:rPr>
                <w:rFonts w:ascii="Times New Roman" w:eastAsia="Times New Roman" w:hAnsi="Times New Roman" w:cs="Times New Roman"/>
                <w:sz w:val="8"/>
              </w:rPr>
              <w:t>79. Adicionalmente, para os casos dos consumidores deve ser incluída uma segunda condição para a devolução das garantias: a contratação do maior MUST previsto no estudo de mínimo custo global que motivou a emissão da Portaria do MME.</w:t>
            </w:r>
          </w:p>
        </w:tc>
        <w:tc>
          <w:tcPr>
            <w:tcW w:w="0" w:type="auto"/>
            <w:vMerge/>
            <w:tcBorders>
              <w:top w:val="nil"/>
              <w:left w:val="single" w:sz="3" w:space="0" w:color="000000"/>
              <w:bottom w:val="nil"/>
              <w:right w:val="nil"/>
            </w:tcBorders>
          </w:tcPr>
          <w:p w14:paraId="0433A26A" w14:textId="77777777" w:rsidR="007E13DE" w:rsidRDefault="007E13DE"/>
        </w:tc>
        <w:tc>
          <w:tcPr>
            <w:tcW w:w="0" w:type="auto"/>
            <w:vMerge/>
            <w:tcBorders>
              <w:top w:val="nil"/>
              <w:left w:val="nil"/>
              <w:bottom w:val="nil"/>
              <w:right w:val="nil"/>
            </w:tcBorders>
          </w:tcPr>
          <w:p w14:paraId="4BEA6DCF" w14:textId="77777777" w:rsidR="007E13DE" w:rsidRDefault="007E13DE"/>
        </w:tc>
      </w:tr>
      <w:tr w:rsidR="007E13DE" w14:paraId="3555287B"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009D86E8" w14:textId="77777777" w:rsidR="007E13DE" w:rsidRDefault="00000000">
            <w:pPr>
              <w:spacing w:after="0"/>
              <w:ind w:left="2"/>
            </w:pPr>
            <w:r>
              <w:rPr>
                <w:rFonts w:ascii="Times New Roman" w:eastAsia="Times New Roman" w:hAnsi="Times New Roman" w:cs="Times New Roman"/>
                <w:sz w:val="8"/>
              </w:rPr>
              <w:t>80. A justificativa para esta necessidade é que, embora o maior MUST previsto no estudo de mínimo custo global que motivou a emissão da Portaria do MME somente seja contratado quando entrar dentro do horizonte de contratação dos consumidores, que é de quatro anos conforme o regulamento vigente, o ONS reservará o sistema de transmissão para este consumidor no período entre a assinatura do CUST e o seu início de execução.</w:t>
            </w:r>
          </w:p>
        </w:tc>
        <w:tc>
          <w:tcPr>
            <w:tcW w:w="0" w:type="auto"/>
            <w:vMerge/>
            <w:tcBorders>
              <w:top w:val="nil"/>
              <w:left w:val="single" w:sz="3" w:space="0" w:color="000000"/>
              <w:bottom w:val="single" w:sz="3" w:space="0" w:color="000000"/>
              <w:right w:val="nil"/>
            </w:tcBorders>
          </w:tcPr>
          <w:p w14:paraId="364D35A5" w14:textId="77777777" w:rsidR="007E13DE" w:rsidRDefault="007E13DE"/>
        </w:tc>
        <w:tc>
          <w:tcPr>
            <w:tcW w:w="0" w:type="auto"/>
            <w:vMerge/>
            <w:tcBorders>
              <w:top w:val="nil"/>
              <w:left w:val="nil"/>
              <w:bottom w:val="single" w:sz="3" w:space="0" w:color="000000"/>
              <w:right w:val="nil"/>
            </w:tcBorders>
          </w:tcPr>
          <w:p w14:paraId="4B0FB9BB" w14:textId="77777777" w:rsidR="007E13DE" w:rsidRDefault="007E13DE"/>
        </w:tc>
      </w:tr>
      <w:tr w:rsidR="007E13DE" w14:paraId="41233064"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1EFEBF97" w14:textId="77777777" w:rsidR="007E13DE" w:rsidRDefault="00000000">
            <w:pPr>
              <w:spacing w:after="0"/>
              <w:ind w:left="2"/>
            </w:pPr>
            <w:r>
              <w:rPr>
                <w:rFonts w:ascii="Times New Roman" w:eastAsia="Times New Roman" w:hAnsi="Times New Roman" w:cs="Times New Roman"/>
                <w:sz w:val="8"/>
              </w:rPr>
              <w:t>81. Sendo assim, a garantia só deverá ser devolvida quando o consumidor assumir a responsabilidade de contratação deste maior MUST, ficando sujeito aos encargos rescisórios já previstos no regulamento vigente.</w:t>
            </w:r>
          </w:p>
        </w:tc>
        <w:tc>
          <w:tcPr>
            <w:tcW w:w="1205" w:type="dxa"/>
            <w:tcBorders>
              <w:top w:val="single" w:sz="3" w:space="0" w:color="000000"/>
              <w:left w:val="single" w:sz="3" w:space="0" w:color="000000"/>
              <w:bottom w:val="single" w:sz="3" w:space="0" w:color="000000"/>
              <w:right w:val="single" w:sz="3" w:space="0" w:color="000000"/>
            </w:tcBorders>
          </w:tcPr>
          <w:p w14:paraId="2E08D395"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23A9B8CC"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316EA26D"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7E0454B3" w14:textId="77777777" w:rsidR="007E13DE" w:rsidRDefault="00000000">
            <w:pPr>
              <w:spacing w:after="0"/>
              <w:ind w:left="2"/>
            </w:pPr>
            <w:r>
              <w:rPr>
                <w:rFonts w:ascii="Times New Roman" w:eastAsia="Times New Roman" w:hAnsi="Times New Roman" w:cs="Times New Roman"/>
                <w:sz w:val="8"/>
              </w:rPr>
              <w:t>82. Com relação aos encargos rescisórios e tendo em vista que os consumidores podem fazer a contratação escalonada do MUST, entendemos que deve ser considerado o maior MUST dentre os previstos no Parecer de Acesso e os indicados no estudo de mínimo custo global que motivou a emissão da Portaria do MME, para cada ponto de conexão. Este entendimento vem do fato de que o consumidor, na prática, reserva a rede no valor do maior MUST previsto para entrar em execução no futuro, tendo em vista que a maior parte dos usuários do sistema de transmissão contratam o MUST de maneira permanente ou por longos prazos.</w:t>
            </w:r>
          </w:p>
        </w:tc>
        <w:tc>
          <w:tcPr>
            <w:tcW w:w="5172" w:type="dxa"/>
            <w:gridSpan w:val="2"/>
            <w:vMerge w:val="restart"/>
            <w:tcBorders>
              <w:top w:val="single" w:sz="3" w:space="0" w:color="000000"/>
              <w:left w:val="single" w:sz="3" w:space="0" w:color="000000"/>
              <w:bottom w:val="single" w:sz="3" w:space="0" w:color="000000"/>
              <w:right w:val="nil"/>
            </w:tcBorders>
          </w:tcPr>
          <w:p w14:paraId="07325835" w14:textId="77777777" w:rsidR="007E13DE" w:rsidRDefault="007E13DE"/>
        </w:tc>
      </w:tr>
      <w:tr w:rsidR="007E13DE" w14:paraId="249132BD"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7C59F9C6" w14:textId="77777777" w:rsidR="007E13DE" w:rsidRDefault="00000000">
            <w:pPr>
              <w:spacing w:after="0"/>
              <w:ind w:left="2"/>
            </w:pPr>
            <w:r>
              <w:rPr>
                <w:rFonts w:ascii="Times New Roman" w:eastAsia="Times New Roman" w:hAnsi="Times New Roman" w:cs="Times New Roman"/>
                <w:sz w:val="8"/>
              </w:rPr>
              <w:t>83. Analisando o normativo aprovado pela REN 1069/2023 e as suas justificativas para aprovação, verifica-se que as garantias financeiras exigidas do gerador para a celebração do CUST têm como motivação a cobertura dos encargos rescisórios de uma eventual rescisão contratual ou descontratação do ponto de conexão. No caso dos geradores, estes encargos rescisórios são os Encargos de Uso do Sistema de Transmissão (EUST) referentes aos 3 (três) anos subsequentes à data da rescisão ou descontratação ou do início de execução do CUST.</w:t>
            </w:r>
          </w:p>
        </w:tc>
        <w:tc>
          <w:tcPr>
            <w:tcW w:w="0" w:type="auto"/>
            <w:gridSpan w:val="2"/>
            <w:vMerge/>
            <w:tcBorders>
              <w:top w:val="nil"/>
              <w:left w:val="single" w:sz="3" w:space="0" w:color="000000"/>
              <w:bottom w:val="single" w:sz="3" w:space="0" w:color="000000"/>
              <w:right w:val="nil"/>
            </w:tcBorders>
          </w:tcPr>
          <w:p w14:paraId="22D01A64" w14:textId="77777777" w:rsidR="007E13DE" w:rsidRDefault="007E13DE"/>
        </w:tc>
      </w:tr>
      <w:tr w:rsidR="007E13DE" w14:paraId="2A2BCB25"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71545047" w14:textId="77777777" w:rsidR="007E13DE" w:rsidRDefault="00000000">
            <w:pPr>
              <w:spacing w:after="0"/>
              <w:ind w:left="2"/>
            </w:pPr>
            <w:r>
              <w:rPr>
                <w:rFonts w:ascii="Times New Roman" w:eastAsia="Times New Roman" w:hAnsi="Times New Roman" w:cs="Times New Roman"/>
                <w:sz w:val="8"/>
              </w:rPr>
              <w:t>84. Levando em consideração o discorrido acima e que os consumidores podem realizar a contração escalonada do MUST, propõe-se que as garantias financeiras dos consumidores sejam de um valor equivalente aos EUST referentes a três anos, calculados multiplicando-se a TUST vigente e o maior MUST dentre os previstos no Parecer de Acesso e os indicados no estudo de mínimo custo global que motivou a emissão da Portaria do MME, conforme texto proposto a seguir.</w:t>
            </w:r>
          </w:p>
        </w:tc>
        <w:tc>
          <w:tcPr>
            <w:tcW w:w="1205" w:type="dxa"/>
            <w:tcBorders>
              <w:top w:val="single" w:sz="3" w:space="0" w:color="000000"/>
              <w:left w:val="single" w:sz="3" w:space="0" w:color="000000"/>
              <w:bottom w:val="single" w:sz="3" w:space="0" w:color="000000"/>
              <w:right w:val="single" w:sz="3" w:space="0" w:color="000000"/>
            </w:tcBorders>
            <w:vAlign w:val="center"/>
          </w:tcPr>
          <w:p w14:paraId="4A98A8E8"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5D94A286"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2BE054B"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6D1D0376" w14:textId="77777777" w:rsidR="007E13DE" w:rsidRDefault="00000000">
            <w:pPr>
              <w:spacing w:after="0"/>
              <w:ind w:left="370"/>
            </w:pPr>
            <w:r>
              <w:rPr>
                <w:rFonts w:ascii="Times New Roman" w:eastAsia="Times New Roman" w:hAnsi="Times New Roman" w:cs="Times New Roman"/>
                <w:sz w:val="8"/>
              </w:rPr>
              <w:t>“4.3 A celebração de CUST ou de termo aditivo ao CUST que inclua novo PONTO DE CONEXÃO deverá ser precedida da apresentação de garantias financeiras por parte dos USUÁRIOS, no valor mínimo equivalente aos EUST referentes a 3 (três) anos, calculados multiplicando-se a TUST vigente e o maior MUST dentre os previstos no PARECER DE ACESSO e os indicados no estudo de mínimo custo global que motivou a emissão da Portaria do MME, para cada PONTO DE CONEXÃO e por horário de contratação.”</w:t>
            </w:r>
          </w:p>
        </w:tc>
        <w:tc>
          <w:tcPr>
            <w:tcW w:w="5172" w:type="dxa"/>
            <w:gridSpan w:val="2"/>
            <w:tcBorders>
              <w:top w:val="single" w:sz="3" w:space="0" w:color="000000"/>
              <w:left w:val="single" w:sz="3" w:space="0" w:color="000000"/>
              <w:bottom w:val="single" w:sz="3" w:space="0" w:color="000000"/>
              <w:right w:val="nil"/>
            </w:tcBorders>
          </w:tcPr>
          <w:p w14:paraId="0D1AA87A" w14:textId="77777777" w:rsidR="007E13DE" w:rsidRDefault="007E13DE"/>
        </w:tc>
      </w:tr>
      <w:tr w:rsidR="007E13DE" w14:paraId="250D4FA0" w14:textId="77777777">
        <w:trPr>
          <w:trHeight w:val="761"/>
        </w:trPr>
        <w:tc>
          <w:tcPr>
            <w:tcW w:w="5162" w:type="dxa"/>
            <w:tcBorders>
              <w:top w:val="single" w:sz="3" w:space="0" w:color="000000"/>
              <w:left w:val="single" w:sz="3" w:space="0" w:color="000000"/>
              <w:bottom w:val="single" w:sz="3" w:space="0" w:color="000000"/>
              <w:right w:val="single" w:sz="3" w:space="0" w:color="000000"/>
            </w:tcBorders>
          </w:tcPr>
          <w:p w14:paraId="5EDDF831" w14:textId="77777777" w:rsidR="007E13DE" w:rsidRDefault="00000000">
            <w:pPr>
              <w:spacing w:after="0"/>
              <w:ind w:left="2"/>
            </w:pPr>
            <w:r>
              <w:rPr>
                <w:rFonts w:ascii="Times New Roman" w:eastAsia="Times New Roman" w:hAnsi="Times New Roman" w:cs="Times New Roman"/>
                <w:sz w:val="8"/>
              </w:rPr>
              <w:t>85. Adicionalmente, faz-se necessário incluir dois itens na Seção 5.2 do Módulo 5 das Regras de Transmissão determinando que em caso de rescisão do CUST ou descontratação de um ponto de conexão antes da energização de suas instalações atendendo a todos requisitos previstos nos Procedimentos de Rede para operação em caráter definitivo e da contratação do maior MUST previsto no estudo de mínimo custo global que motivou a emissão da Portaria do MME, será devido o valor equivalente aos EUST referentes a 3 (três) anos, calculados multiplicando-se a TUST vigente no momento da celebração do CUST e o maior MUST contratado, conforme texto a seguir. Também foi necessário modificar mais dois itens para compatibilizá-los com os novos itens propostos, os quais também estão transcritos a seguir.</w:t>
            </w:r>
          </w:p>
        </w:tc>
        <w:tc>
          <w:tcPr>
            <w:tcW w:w="1205" w:type="dxa"/>
            <w:tcBorders>
              <w:top w:val="single" w:sz="3" w:space="0" w:color="000000"/>
              <w:left w:val="single" w:sz="3" w:space="0" w:color="000000"/>
              <w:bottom w:val="single" w:sz="3" w:space="0" w:color="000000"/>
              <w:right w:val="single" w:sz="3" w:space="0" w:color="000000"/>
            </w:tcBorders>
            <w:vAlign w:val="center"/>
          </w:tcPr>
          <w:p w14:paraId="048769DD"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59F4F2A3"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35EBF39A" w14:textId="77777777">
        <w:trPr>
          <w:trHeight w:val="761"/>
        </w:trPr>
        <w:tc>
          <w:tcPr>
            <w:tcW w:w="5162" w:type="dxa"/>
            <w:tcBorders>
              <w:top w:val="single" w:sz="3" w:space="0" w:color="000000"/>
              <w:left w:val="single" w:sz="3" w:space="0" w:color="000000"/>
              <w:bottom w:val="single" w:sz="3" w:space="0" w:color="000000"/>
              <w:right w:val="single" w:sz="3" w:space="0" w:color="000000"/>
            </w:tcBorders>
          </w:tcPr>
          <w:p w14:paraId="0AB482FF" w14:textId="77777777" w:rsidR="007E13DE" w:rsidRDefault="00000000">
            <w:pPr>
              <w:spacing w:after="0"/>
              <w:ind w:left="370"/>
            </w:pPr>
            <w:r>
              <w:rPr>
                <w:rFonts w:ascii="Times New Roman" w:eastAsia="Times New Roman" w:hAnsi="Times New Roman" w:cs="Times New Roman"/>
                <w:sz w:val="8"/>
              </w:rPr>
              <w:t>“4.5.7 Em caso de descontratação de um PONTO DE CONEXÃO antes da energização de suas instalações atendendo a todos requisitos previstos nos PROCEDIMENTOS DE REDE para operação em caráter definitivo e da contratação do maior MUST previsto no estudo de mínimo custo global que motivou a emissão da Portaria do MME, será devido o valor equivalente aos EUST referentes a 3 (três) anos, calculados multiplicando-se a TUST vigente no momento da celebração do CUST e o maior MUST dentre os previstos no PARECER DE ACESSO e os indicados no estudo de mínimo custo global que motivou a emissão da Portaria do MME, por horário de contratação, sendo que a liquidação ocorrerá na primeira apuração mensal de serviços e encargos subsequente.</w:t>
            </w:r>
          </w:p>
        </w:tc>
        <w:tc>
          <w:tcPr>
            <w:tcW w:w="5172" w:type="dxa"/>
            <w:gridSpan w:val="2"/>
            <w:vMerge w:val="restart"/>
            <w:tcBorders>
              <w:top w:val="single" w:sz="3" w:space="0" w:color="000000"/>
              <w:left w:val="single" w:sz="3" w:space="0" w:color="000000"/>
              <w:bottom w:val="single" w:sz="3" w:space="0" w:color="000000"/>
              <w:right w:val="nil"/>
            </w:tcBorders>
          </w:tcPr>
          <w:p w14:paraId="4A122A42" w14:textId="77777777" w:rsidR="007E13DE" w:rsidRDefault="007E13DE"/>
        </w:tc>
      </w:tr>
      <w:tr w:rsidR="007E13DE" w14:paraId="4F5071A1"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37ED3BAE" w14:textId="77777777" w:rsidR="007E13DE" w:rsidRDefault="00000000">
            <w:pPr>
              <w:spacing w:after="0"/>
              <w:ind w:left="370" w:right="12"/>
            </w:pPr>
            <w:r>
              <w:rPr>
                <w:rFonts w:ascii="Times New Roman" w:eastAsia="Times New Roman" w:hAnsi="Times New Roman" w:cs="Times New Roman"/>
                <w:sz w:val="8"/>
              </w:rPr>
              <w:t>4.5.8 Em caso de descontratação de um PONTO DE CONEXÃO após a energização das instalações atendendo a todos os requisitos previstos nos PROCEDIMENTOS DE REDE para operação em caráter definitivo e da contratação do maior MUST previsto no estudo de mínimo custo global que motivou a emissão da Portaria do MME, os EUST devidos serão calculados multiplicando-se a TUST vigente no mês subsequente à descontratação e os MUST descontratados, por horário de contratação, até o fim do período de contratação, sendo que a liquidação ocorrerá na primeira apuração mensal de serviços e encargos subsequente.</w:t>
            </w:r>
          </w:p>
        </w:tc>
        <w:tc>
          <w:tcPr>
            <w:tcW w:w="0" w:type="auto"/>
            <w:gridSpan w:val="2"/>
            <w:vMerge/>
            <w:tcBorders>
              <w:top w:val="nil"/>
              <w:left w:val="single" w:sz="3" w:space="0" w:color="000000"/>
              <w:bottom w:val="nil"/>
              <w:right w:val="nil"/>
            </w:tcBorders>
          </w:tcPr>
          <w:p w14:paraId="231748CC" w14:textId="77777777" w:rsidR="007E13DE" w:rsidRDefault="007E13DE"/>
        </w:tc>
      </w:tr>
      <w:tr w:rsidR="007E13DE" w14:paraId="30C28E3C"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5C241E2E" w14:textId="77777777" w:rsidR="007E13DE" w:rsidRDefault="00000000">
            <w:pPr>
              <w:spacing w:after="11"/>
              <w:ind w:left="370"/>
            </w:pPr>
            <w:r>
              <w:rPr>
                <w:rFonts w:ascii="Times New Roman" w:eastAsia="Times New Roman" w:hAnsi="Times New Roman" w:cs="Times New Roman"/>
                <w:sz w:val="8"/>
              </w:rPr>
              <w:t xml:space="preserve">4.5.9 Em caso de rescisão do CUST antes da energização das instalações atendendo a todos os requisitos previstos nos </w:t>
            </w:r>
          </w:p>
          <w:p w14:paraId="70A6ABBE" w14:textId="77777777" w:rsidR="007E13DE" w:rsidRDefault="00000000">
            <w:pPr>
              <w:spacing w:after="0"/>
              <w:ind w:left="370" w:right="1"/>
            </w:pPr>
            <w:r>
              <w:rPr>
                <w:rFonts w:ascii="Times New Roman" w:eastAsia="Times New Roman" w:hAnsi="Times New Roman" w:cs="Times New Roman"/>
                <w:sz w:val="8"/>
              </w:rPr>
              <w:t>PROCEDIMENTOS DE REDE para operação em caráter definitivo e da contratação do maior MUST previsto no estudo de mínimo custo global que motivou a emissão da Portaria do MME, será devido o valor equivalente aos EUST referentes a 3 (três) anos, calculados multiplicando-se a TUST vigente no momento da celebração do CUST e o maior MUST dentre os previstos no PARECER DE ACESSO e os indicados no estudo de mínimo custo global que motivou a emissão da Portaria do MME, por horário de contratação, sendo que a liquidação ocorrerá na primeira apuração mensal de serviços e encargos subsequente.</w:t>
            </w:r>
          </w:p>
        </w:tc>
        <w:tc>
          <w:tcPr>
            <w:tcW w:w="0" w:type="auto"/>
            <w:gridSpan w:val="2"/>
            <w:vMerge/>
            <w:tcBorders>
              <w:top w:val="nil"/>
              <w:left w:val="single" w:sz="3" w:space="0" w:color="000000"/>
              <w:bottom w:val="nil"/>
              <w:right w:val="nil"/>
            </w:tcBorders>
          </w:tcPr>
          <w:p w14:paraId="45177A7B" w14:textId="77777777" w:rsidR="007E13DE" w:rsidRDefault="007E13DE"/>
        </w:tc>
      </w:tr>
      <w:tr w:rsidR="007E13DE" w14:paraId="20166795"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32D76D90" w14:textId="77777777" w:rsidR="007E13DE" w:rsidRDefault="00000000">
            <w:pPr>
              <w:spacing w:after="11"/>
              <w:ind w:left="370"/>
            </w:pPr>
            <w:r>
              <w:rPr>
                <w:rFonts w:ascii="Times New Roman" w:eastAsia="Times New Roman" w:hAnsi="Times New Roman" w:cs="Times New Roman"/>
                <w:sz w:val="8"/>
              </w:rPr>
              <w:lastRenderedPageBreak/>
              <w:t xml:space="preserve">4.5.10 Em caso de rescisão do CUST após a energização das instalações atendendo a todos os requisitos previstos nos </w:t>
            </w:r>
          </w:p>
          <w:p w14:paraId="0D92F805" w14:textId="77777777" w:rsidR="007E13DE" w:rsidRDefault="00000000">
            <w:pPr>
              <w:spacing w:after="0"/>
              <w:ind w:left="370"/>
            </w:pPr>
            <w:r>
              <w:rPr>
                <w:rFonts w:ascii="Times New Roman" w:eastAsia="Times New Roman" w:hAnsi="Times New Roman" w:cs="Times New Roman"/>
                <w:sz w:val="8"/>
              </w:rPr>
              <w:t>PROCEDIMENTOS DE REDE para operação em caráter definitivo e da contratação do maior MUST previsto no estudo de mínimo custo global que motivou a emissão da Portaria do MME, os EUST devidos serão calculados, por PONTO DE CONEXÃO, multiplicando-se a TUST vigente no mês subsequente à rescisão e os MUST rescindidos, por horário de contratação, até o fim do período de contratação, sendo que a liquidação ocorrerá na primeira apuração mensal de serviços e encargos subsequente.”</w:t>
            </w:r>
          </w:p>
        </w:tc>
        <w:tc>
          <w:tcPr>
            <w:tcW w:w="0" w:type="auto"/>
            <w:gridSpan w:val="2"/>
            <w:vMerge/>
            <w:tcBorders>
              <w:top w:val="nil"/>
              <w:left w:val="single" w:sz="3" w:space="0" w:color="000000"/>
              <w:bottom w:val="nil"/>
              <w:right w:val="nil"/>
            </w:tcBorders>
          </w:tcPr>
          <w:p w14:paraId="5A418EF6" w14:textId="77777777" w:rsidR="007E13DE" w:rsidRDefault="007E13DE"/>
        </w:tc>
      </w:tr>
      <w:tr w:rsidR="007E13DE" w14:paraId="0A8B6D03"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16908E68" w14:textId="77777777" w:rsidR="007E13DE" w:rsidRDefault="00000000">
            <w:pPr>
              <w:spacing w:after="0"/>
              <w:ind w:left="2"/>
            </w:pPr>
            <w:r>
              <w:rPr>
                <w:rFonts w:ascii="Times New Roman" w:eastAsia="Times New Roman" w:hAnsi="Times New Roman" w:cs="Times New Roman"/>
                <w:sz w:val="8"/>
              </w:rPr>
              <w:t>86. Desta forma, temos que a garantia financeira exigida para assinatura do CUST será devolvida apenas quando da energização de suas instalações atendendo a todos requisitos previstos nos Procedimentos de Rede para operação em caráter definitivo e da contratação do maior MUST previsto no estudo de mínimo custo global que motivou a emissão da Portaria do MME, sendo executada integralmente se isto não ocorrer, de modo a cobrir os encargos rescisórios apresentados no item anterior.</w:t>
            </w:r>
          </w:p>
        </w:tc>
        <w:tc>
          <w:tcPr>
            <w:tcW w:w="0" w:type="auto"/>
            <w:gridSpan w:val="2"/>
            <w:vMerge/>
            <w:tcBorders>
              <w:top w:val="nil"/>
              <w:left w:val="single" w:sz="3" w:space="0" w:color="000000"/>
              <w:bottom w:val="nil"/>
              <w:right w:val="nil"/>
            </w:tcBorders>
          </w:tcPr>
          <w:p w14:paraId="42B3E600" w14:textId="77777777" w:rsidR="007E13DE" w:rsidRDefault="007E13DE"/>
        </w:tc>
      </w:tr>
      <w:tr w:rsidR="007E13DE" w14:paraId="01CCD8CB"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1E1CBDB" w14:textId="77777777" w:rsidR="007E13DE" w:rsidRDefault="00000000">
            <w:pPr>
              <w:spacing w:after="0"/>
              <w:ind w:left="2"/>
            </w:pPr>
            <w:r>
              <w:rPr>
                <w:rFonts w:ascii="Times New Roman" w:eastAsia="Times New Roman" w:hAnsi="Times New Roman" w:cs="Times New Roman"/>
                <w:sz w:val="8"/>
              </w:rPr>
              <w:t>87. Entendemos que o regulamento colocado desta forma incentiva a contratação responsável do uso do sistema de transmissão pelos consumidores. Ainda se entende que este incentivo é equivalente ao aprovado para o caso da contratação dos geradores.</w:t>
            </w:r>
          </w:p>
        </w:tc>
        <w:tc>
          <w:tcPr>
            <w:tcW w:w="0" w:type="auto"/>
            <w:gridSpan w:val="2"/>
            <w:vMerge/>
            <w:tcBorders>
              <w:top w:val="nil"/>
              <w:left w:val="single" w:sz="3" w:space="0" w:color="000000"/>
              <w:bottom w:val="single" w:sz="3" w:space="0" w:color="000000"/>
              <w:right w:val="nil"/>
            </w:tcBorders>
          </w:tcPr>
          <w:p w14:paraId="6E565A23" w14:textId="77777777" w:rsidR="007E13DE" w:rsidRDefault="007E13DE"/>
        </w:tc>
      </w:tr>
      <w:tr w:rsidR="007E13DE" w14:paraId="58E36F3C" w14:textId="77777777">
        <w:trPr>
          <w:trHeight w:val="761"/>
        </w:trPr>
        <w:tc>
          <w:tcPr>
            <w:tcW w:w="5162" w:type="dxa"/>
            <w:tcBorders>
              <w:top w:val="single" w:sz="3" w:space="0" w:color="000000"/>
              <w:left w:val="single" w:sz="3" w:space="0" w:color="000000"/>
              <w:bottom w:val="single" w:sz="3" w:space="0" w:color="000000"/>
              <w:right w:val="single" w:sz="3" w:space="0" w:color="000000"/>
            </w:tcBorders>
          </w:tcPr>
          <w:p w14:paraId="2AA5A2C3" w14:textId="77777777" w:rsidR="007E13DE" w:rsidRDefault="00000000">
            <w:pPr>
              <w:spacing w:after="0"/>
              <w:ind w:left="2"/>
            </w:pPr>
            <w:r>
              <w:rPr>
                <w:rFonts w:ascii="Times New Roman" w:eastAsia="Times New Roman" w:hAnsi="Times New Roman" w:cs="Times New Roman"/>
                <w:sz w:val="8"/>
              </w:rPr>
              <w:t>88. Com relação à aplicabilidade das garantias financeiras como requisito para a solicitação de Parecer de Acesso e para a assinatura do CUST, propomos que somente devem ser aplicadas para a contratação de novos acessos que envolvam a celebração de novos CUST ou de termos aditivos ao CUST que inclua novo ponto de conexão. Entendemos que o risco de desistência do acesso é pequeno após a energização das instalações atendendo a todos requisitos previstos nos Procedimentos de Rede para operação em caráter definitivo e da contratação do maior MUST previsto no estudo de mínimo custo global que motivou a emissão da Portaria do MME. Além disso, após esta etapa, o consumidor estará sujeito aos encargos rescisórios e as regras de descontratação já previstas atualmente.</w:t>
            </w:r>
          </w:p>
        </w:tc>
        <w:tc>
          <w:tcPr>
            <w:tcW w:w="1205" w:type="dxa"/>
            <w:tcBorders>
              <w:top w:val="single" w:sz="3" w:space="0" w:color="000000"/>
              <w:left w:val="single" w:sz="3" w:space="0" w:color="000000"/>
              <w:bottom w:val="single" w:sz="3" w:space="0" w:color="000000"/>
              <w:right w:val="single" w:sz="3" w:space="0" w:color="000000"/>
            </w:tcBorders>
            <w:vAlign w:val="center"/>
          </w:tcPr>
          <w:p w14:paraId="2F61E377"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596027CB"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AD7FAE1"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282F3E7E" w14:textId="77777777" w:rsidR="007E13DE" w:rsidRDefault="00000000">
            <w:pPr>
              <w:spacing w:after="0"/>
              <w:ind w:left="2"/>
            </w:pPr>
            <w:r>
              <w:rPr>
                <w:rFonts w:ascii="Times New Roman" w:eastAsia="Times New Roman" w:hAnsi="Times New Roman" w:cs="Times New Roman"/>
                <w:sz w:val="8"/>
              </w:rPr>
              <w:t>89. Passemos então a discorrer sobre o problema elencado no item “a)” do parágrafo 49, qual seja: “A conexão de novas unidades consumidoras de alta potência pode requerer ampliações significativas na rede de transmissão. A eventual desistência destas conexões pode deixar as referidas ampliações ociosas, as quais deverão ser remuneradas pelos demais usuários da rede de transmissão, gerando aumento tarifário desnecessário”</w:t>
            </w:r>
          </w:p>
        </w:tc>
        <w:tc>
          <w:tcPr>
            <w:tcW w:w="5172" w:type="dxa"/>
            <w:gridSpan w:val="2"/>
            <w:vMerge w:val="restart"/>
            <w:tcBorders>
              <w:top w:val="single" w:sz="3" w:space="0" w:color="000000"/>
              <w:left w:val="single" w:sz="3" w:space="0" w:color="000000"/>
              <w:bottom w:val="nil"/>
              <w:right w:val="nil"/>
            </w:tcBorders>
          </w:tcPr>
          <w:p w14:paraId="377D3E9E" w14:textId="77777777" w:rsidR="007E13DE" w:rsidRDefault="007E13DE"/>
        </w:tc>
      </w:tr>
      <w:tr w:rsidR="007E13DE" w14:paraId="03FB641E"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AC06E85" w14:textId="77777777" w:rsidR="007E13DE" w:rsidRDefault="00000000">
            <w:pPr>
              <w:spacing w:after="0"/>
              <w:ind w:left="2"/>
            </w:pPr>
            <w:r>
              <w:rPr>
                <w:rFonts w:ascii="Times New Roman" w:eastAsia="Times New Roman" w:hAnsi="Times New Roman" w:cs="Times New Roman"/>
                <w:sz w:val="8"/>
              </w:rPr>
              <w:t>90. Entendemos que a tratativa deste problema requer estudo mais aprofundado e poderá requerer eventuais mudanças regulatórias ou legislativas mais profundas, podendo envolver o planejamento setorial, tema que não é de competência da ANEEL. Sendo assim, o estudo e eventual tratamento deste problema regulatório não será tratado no âmbito desta instrução.</w:t>
            </w:r>
          </w:p>
        </w:tc>
        <w:tc>
          <w:tcPr>
            <w:tcW w:w="0" w:type="auto"/>
            <w:gridSpan w:val="2"/>
            <w:vMerge/>
            <w:tcBorders>
              <w:top w:val="nil"/>
              <w:left w:val="single" w:sz="3" w:space="0" w:color="000000"/>
              <w:bottom w:val="nil"/>
              <w:right w:val="nil"/>
            </w:tcBorders>
          </w:tcPr>
          <w:p w14:paraId="335CA38F" w14:textId="77777777" w:rsidR="007E13DE" w:rsidRDefault="007E13DE"/>
        </w:tc>
      </w:tr>
      <w:tr w:rsidR="007E13DE" w14:paraId="4782FD5C"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E3C8B18" w14:textId="77777777" w:rsidR="007E13DE" w:rsidRDefault="00000000">
            <w:pPr>
              <w:spacing w:after="0"/>
              <w:ind w:left="5"/>
            </w:pPr>
            <w:r>
              <w:rPr>
                <w:rFonts w:ascii="Times New Roman" w:eastAsia="Times New Roman" w:hAnsi="Times New Roman" w:cs="Times New Roman"/>
                <w:sz w:val="11"/>
              </w:rPr>
              <w:t>III.7 – Dos motivos para dispensa de Análise de Impacto Regulatório (AIR)</w:t>
            </w:r>
          </w:p>
        </w:tc>
        <w:tc>
          <w:tcPr>
            <w:tcW w:w="0" w:type="auto"/>
            <w:gridSpan w:val="2"/>
            <w:vMerge/>
            <w:tcBorders>
              <w:top w:val="nil"/>
              <w:left w:val="single" w:sz="3" w:space="0" w:color="000000"/>
              <w:bottom w:val="nil"/>
              <w:right w:val="nil"/>
            </w:tcBorders>
          </w:tcPr>
          <w:p w14:paraId="53B0FA66" w14:textId="77777777" w:rsidR="007E13DE" w:rsidRDefault="007E13DE"/>
        </w:tc>
      </w:tr>
      <w:tr w:rsidR="007E13DE" w14:paraId="147D52FD"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073E9841" w14:textId="77777777" w:rsidR="007E13DE" w:rsidRDefault="00000000">
            <w:pPr>
              <w:spacing w:after="0"/>
              <w:ind w:left="2"/>
            </w:pPr>
            <w:r>
              <w:rPr>
                <w:rFonts w:ascii="Times New Roman" w:eastAsia="Times New Roman" w:hAnsi="Times New Roman" w:cs="Times New Roman"/>
                <w:sz w:val="8"/>
              </w:rPr>
              <w:t>91. O problema regulatório apresentado nesta Nota Técnica, que envolve os consumidores que acessam diretamente a Rede Básica, em muito se assemelha ao problema regulatório já estudado previamente no Relatório de Análise de Impacto Regulatório nº 1/2023-STD-SCE-SGM/ANEEL, sendo que naquela ocasião os geradores eram os envolvidos.</w:t>
            </w:r>
          </w:p>
        </w:tc>
        <w:tc>
          <w:tcPr>
            <w:tcW w:w="0" w:type="auto"/>
            <w:gridSpan w:val="2"/>
            <w:vMerge/>
            <w:tcBorders>
              <w:top w:val="nil"/>
              <w:left w:val="single" w:sz="3" w:space="0" w:color="000000"/>
              <w:bottom w:val="nil"/>
              <w:right w:val="nil"/>
            </w:tcBorders>
          </w:tcPr>
          <w:p w14:paraId="0763A353" w14:textId="77777777" w:rsidR="007E13DE" w:rsidRDefault="007E13DE"/>
        </w:tc>
      </w:tr>
      <w:tr w:rsidR="007E13DE" w14:paraId="19B8D411"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6E5715A" w14:textId="77777777" w:rsidR="007E13DE" w:rsidRDefault="00000000">
            <w:pPr>
              <w:spacing w:after="0"/>
              <w:ind w:left="2"/>
            </w:pPr>
            <w:r>
              <w:rPr>
                <w:rFonts w:ascii="Times New Roman" w:eastAsia="Times New Roman" w:hAnsi="Times New Roman" w:cs="Times New Roman"/>
                <w:sz w:val="8"/>
              </w:rPr>
              <w:t>92. As medidas sugeridas pelo Relatório de Análise de Impacto Regulatório nº 1/2023-STD-SCE-SGM/ANEEL foram aprovadas pela diretoria da ANEEL, sendo implantadas por meio da REN 1069/2023, do DSP 3245/2023 e do DSP 1788/2024.</w:t>
            </w:r>
          </w:p>
        </w:tc>
        <w:tc>
          <w:tcPr>
            <w:tcW w:w="0" w:type="auto"/>
            <w:gridSpan w:val="2"/>
            <w:vMerge/>
            <w:tcBorders>
              <w:top w:val="nil"/>
              <w:left w:val="single" w:sz="3" w:space="0" w:color="000000"/>
              <w:bottom w:val="nil"/>
              <w:right w:val="nil"/>
            </w:tcBorders>
          </w:tcPr>
          <w:p w14:paraId="4B3A6170" w14:textId="77777777" w:rsidR="007E13DE" w:rsidRDefault="007E13DE"/>
        </w:tc>
      </w:tr>
      <w:tr w:rsidR="007E13DE" w14:paraId="5D142236"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2AC4380" w14:textId="77777777" w:rsidR="007E13DE" w:rsidRDefault="00000000">
            <w:pPr>
              <w:spacing w:after="0"/>
              <w:ind w:left="2"/>
            </w:pPr>
            <w:r>
              <w:rPr>
                <w:rFonts w:ascii="Times New Roman" w:eastAsia="Times New Roman" w:hAnsi="Times New Roman" w:cs="Times New Roman"/>
                <w:sz w:val="8"/>
              </w:rPr>
              <w:t>93. Estamos propondo replicar para os consumidores que acessam diretamente a Rede Básica a solução previamente estudada e aprovada para o caso dos geradores, sendo necessárias pequenas adaptações que já foram detalhadas anteriormente.</w:t>
            </w:r>
          </w:p>
        </w:tc>
        <w:tc>
          <w:tcPr>
            <w:tcW w:w="0" w:type="auto"/>
            <w:gridSpan w:val="2"/>
            <w:vMerge/>
            <w:tcBorders>
              <w:top w:val="nil"/>
              <w:left w:val="single" w:sz="3" w:space="0" w:color="000000"/>
              <w:bottom w:val="nil"/>
              <w:right w:val="nil"/>
            </w:tcBorders>
          </w:tcPr>
          <w:p w14:paraId="05A66F9A" w14:textId="77777777" w:rsidR="007E13DE" w:rsidRDefault="007E13DE"/>
        </w:tc>
      </w:tr>
      <w:tr w:rsidR="007E13DE" w14:paraId="0A3AB4CD"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8716574" w14:textId="77777777" w:rsidR="007E13DE" w:rsidRDefault="00000000">
            <w:pPr>
              <w:spacing w:after="0"/>
              <w:ind w:left="2"/>
            </w:pPr>
            <w:r>
              <w:rPr>
                <w:rFonts w:ascii="Times New Roman" w:eastAsia="Times New Roman" w:hAnsi="Times New Roman" w:cs="Times New Roman"/>
                <w:sz w:val="8"/>
              </w:rPr>
              <w:t>94. Sendo assim, entende-se que não é necessário replicar o estudo já realizado anteriormente e disposto no Relatório de Análise de Impacto Regulatório nº 1/2023-STD-SCE-SGM/ANEEL, tendo em vista as similaridades do problema regulatório tratado naquela ocasião e o problema regulatório em discussão nesta Nota Técnica.</w:t>
            </w:r>
          </w:p>
        </w:tc>
        <w:tc>
          <w:tcPr>
            <w:tcW w:w="0" w:type="auto"/>
            <w:gridSpan w:val="2"/>
            <w:vMerge/>
            <w:tcBorders>
              <w:top w:val="nil"/>
              <w:left w:val="single" w:sz="3" w:space="0" w:color="000000"/>
              <w:bottom w:val="nil"/>
              <w:right w:val="nil"/>
            </w:tcBorders>
          </w:tcPr>
          <w:p w14:paraId="614E0C4C" w14:textId="77777777" w:rsidR="007E13DE" w:rsidRDefault="007E13DE"/>
        </w:tc>
      </w:tr>
      <w:tr w:rsidR="007E13DE" w14:paraId="311BEC45"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0936D340" w14:textId="77777777" w:rsidR="007E13DE" w:rsidRDefault="00000000">
            <w:pPr>
              <w:spacing w:after="11"/>
              <w:ind w:left="2"/>
            </w:pPr>
            <w:r>
              <w:rPr>
                <w:rFonts w:ascii="Times New Roman" w:eastAsia="Times New Roman" w:hAnsi="Times New Roman" w:cs="Times New Roman"/>
                <w:sz w:val="8"/>
              </w:rPr>
              <w:t xml:space="preserve">95. Além disso, entendemos que o presente tema necessita ser tratado com urgência, sendo este um dos motivos também para a dispensa da </w:t>
            </w:r>
          </w:p>
          <w:p w14:paraId="1752E943" w14:textId="77777777" w:rsidR="007E13DE" w:rsidRDefault="00000000">
            <w:pPr>
              <w:spacing w:after="0"/>
              <w:ind w:left="2"/>
            </w:pPr>
            <w:r>
              <w:rPr>
                <w:rFonts w:ascii="Times New Roman" w:eastAsia="Times New Roman" w:hAnsi="Times New Roman" w:cs="Times New Roman"/>
                <w:sz w:val="8"/>
              </w:rPr>
              <w:t>Análise de Impacto Regulatório (AIR) previsto em legislação. Trataremos a questão da dispensa pelo motivo de urgência nos parágrafos a seguir.</w:t>
            </w:r>
          </w:p>
        </w:tc>
        <w:tc>
          <w:tcPr>
            <w:tcW w:w="0" w:type="auto"/>
            <w:gridSpan w:val="2"/>
            <w:vMerge/>
            <w:tcBorders>
              <w:top w:val="nil"/>
              <w:left w:val="single" w:sz="3" w:space="0" w:color="000000"/>
              <w:bottom w:val="nil"/>
              <w:right w:val="nil"/>
            </w:tcBorders>
          </w:tcPr>
          <w:p w14:paraId="62CB6CDB" w14:textId="77777777" w:rsidR="007E13DE" w:rsidRDefault="007E13DE"/>
        </w:tc>
      </w:tr>
      <w:tr w:rsidR="007E13DE" w14:paraId="6FF2CDC5"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1743DD53" w14:textId="77777777" w:rsidR="007E13DE" w:rsidRDefault="00000000">
            <w:pPr>
              <w:spacing w:after="0"/>
              <w:ind w:left="2"/>
            </w:pPr>
            <w:r>
              <w:rPr>
                <w:rFonts w:ascii="Times New Roman" w:eastAsia="Times New Roman" w:hAnsi="Times New Roman" w:cs="Times New Roman"/>
                <w:sz w:val="8"/>
              </w:rPr>
              <w:t>96. A Lei nº 13.848, de 25 de junho de 2019, em seu Art. 6o, determina que a adoção e as propostas de alteração de atos normativos de interesse geral dos agentes econômicos, consumidores ou usuários dos serviços prestados serão, nos termos de regulamento, precedidas da realização de Análise de Impacto Regulatório (AIR), que conterá informações e dados sobre os possíveis efeitos do ato normativo.</w:t>
            </w:r>
          </w:p>
        </w:tc>
        <w:tc>
          <w:tcPr>
            <w:tcW w:w="0" w:type="auto"/>
            <w:gridSpan w:val="2"/>
            <w:vMerge/>
            <w:tcBorders>
              <w:top w:val="nil"/>
              <w:left w:val="single" w:sz="3" w:space="0" w:color="000000"/>
              <w:bottom w:val="nil"/>
              <w:right w:val="nil"/>
            </w:tcBorders>
          </w:tcPr>
          <w:p w14:paraId="218E6CDB" w14:textId="77777777" w:rsidR="007E13DE" w:rsidRDefault="007E13DE"/>
        </w:tc>
      </w:tr>
      <w:tr w:rsidR="007E13DE" w14:paraId="63D24B3F"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50CCF1F5" w14:textId="77777777" w:rsidR="007E13DE" w:rsidRDefault="00000000">
            <w:pPr>
              <w:spacing w:after="0"/>
              <w:ind w:left="2"/>
            </w:pPr>
            <w:r>
              <w:rPr>
                <w:rFonts w:ascii="Times New Roman" w:eastAsia="Times New Roman" w:hAnsi="Times New Roman" w:cs="Times New Roman"/>
                <w:sz w:val="8"/>
              </w:rPr>
              <w:t>97. A Lei nº 13.874, de 20 de setembro de 2019, em seu Art. 5o, determina que as propostas de edição e de alteração de atos normativos de interesse geral de agentes econômicos ou de usuários dos serviços prestados, editadas por órgão ou entidade da administração pública federal, incluídas as autarquias e as fundações públicas, serão precedidas da realização de análise de impacto regulatório, que conterá informações e dados sobre os possíveis efeitos do ato normativo para verificar a razoabilidade do seu impacto econômico.</w:t>
            </w:r>
          </w:p>
        </w:tc>
        <w:tc>
          <w:tcPr>
            <w:tcW w:w="0" w:type="auto"/>
            <w:gridSpan w:val="2"/>
            <w:vMerge/>
            <w:tcBorders>
              <w:top w:val="nil"/>
              <w:left w:val="single" w:sz="3" w:space="0" w:color="000000"/>
              <w:bottom w:val="nil"/>
              <w:right w:val="nil"/>
            </w:tcBorders>
          </w:tcPr>
          <w:p w14:paraId="616B135A" w14:textId="77777777" w:rsidR="007E13DE" w:rsidRDefault="007E13DE"/>
        </w:tc>
      </w:tr>
      <w:tr w:rsidR="007E13DE" w14:paraId="08D3CC63"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159D8AC7" w14:textId="77777777" w:rsidR="007E13DE" w:rsidRDefault="00000000">
            <w:pPr>
              <w:spacing w:after="0"/>
              <w:ind w:left="2"/>
            </w:pPr>
            <w:r>
              <w:rPr>
                <w:rFonts w:ascii="Times New Roman" w:eastAsia="Times New Roman" w:hAnsi="Times New Roman" w:cs="Times New Roman"/>
                <w:sz w:val="8"/>
              </w:rPr>
              <w:t>98. O Decreto nº 10.411, de 30 de junho de 2020 (Decreto 10411/2020), regulamenta a análise de impacto regulatório de que tratam o art. 5o da Lei nº 13.874, de 20 de setembro de 2019, e o art. 6º da Lei nº 13.848, de 25 de junho de 2019, anteriormente citados. O Decreto, em seu Art. 4o, determina a AIR poderá ser dispensada em algumas hipóteses, desde que haja decisão fundamentada do órgão ou da entidade competente. Dentre as hipóteses de dispensa de AIR, está indicada a necessidade de urgência.</w:t>
            </w:r>
          </w:p>
        </w:tc>
        <w:tc>
          <w:tcPr>
            <w:tcW w:w="0" w:type="auto"/>
            <w:gridSpan w:val="2"/>
            <w:vMerge/>
            <w:tcBorders>
              <w:top w:val="nil"/>
              <w:left w:val="single" w:sz="3" w:space="0" w:color="000000"/>
              <w:bottom w:val="nil"/>
              <w:right w:val="nil"/>
            </w:tcBorders>
          </w:tcPr>
          <w:p w14:paraId="57E1B46E" w14:textId="77777777" w:rsidR="007E13DE" w:rsidRDefault="007E13DE"/>
        </w:tc>
      </w:tr>
      <w:tr w:rsidR="007E13DE" w14:paraId="5D5CB6E3"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0549F12" w14:textId="77777777" w:rsidR="007E13DE" w:rsidRDefault="00000000">
            <w:pPr>
              <w:spacing w:after="0"/>
              <w:ind w:left="2"/>
            </w:pPr>
            <w:r>
              <w:rPr>
                <w:rFonts w:ascii="Times New Roman" w:eastAsia="Times New Roman" w:hAnsi="Times New Roman" w:cs="Times New Roman"/>
                <w:sz w:val="8"/>
              </w:rPr>
              <w:t>99. O Decreto nº 10.411/2020 ainda determina em seu Art. 4o, § 1o, que em caso de dispensa de AIR, será elaborada nota técnica que fundamente a proposta de edição ou de alteração do ato normativo.</w:t>
            </w:r>
          </w:p>
        </w:tc>
        <w:tc>
          <w:tcPr>
            <w:tcW w:w="0" w:type="auto"/>
            <w:gridSpan w:val="2"/>
            <w:vMerge/>
            <w:tcBorders>
              <w:top w:val="nil"/>
              <w:left w:val="single" w:sz="3" w:space="0" w:color="000000"/>
              <w:bottom w:val="nil"/>
              <w:right w:val="nil"/>
            </w:tcBorders>
          </w:tcPr>
          <w:p w14:paraId="09675CB8" w14:textId="77777777" w:rsidR="007E13DE" w:rsidRDefault="007E13DE"/>
        </w:tc>
      </w:tr>
      <w:tr w:rsidR="007E13DE" w14:paraId="7F385495"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48E11D92" w14:textId="77777777" w:rsidR="007E13DE" w:rsidRDefault="00000000">
            <w:pPr>
              <w:spacing w:after="0"/>
              <w:ind w:right="2"/>
              <w:jc w:val="center"/>
            </w:pPr>
            <w:r>
              <w:rPr>
                <w:rFonts w:ascii="Times New Roman" w:eastAsia="Times New Roman" w:hAnsi="Times New Roman" w:cs="Times New Roman"/>
                <w:color w:val="0000FF"/>
                <w:sz w:val="11"/>
              </w:rPr>
              <w:t>CONTRIBUIÇÃO REFERENTE À CONSULTA PÚBLICA Nº 023/2024</w:t>
            </w:r>
          </w:p>
        </w:tc>
      </w:tr>
      <w:tr w:rsidR="007E13DE" w14:paraId="5C54333A"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F11E392" w14:textId="77777777" w:rsidR="007E13DE" w:rsidRDefault="00000000">
            <w:pPr>
              <w:spacing w:after="0"/>
              <w:ind w:right="16"/>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59954591"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253E1416" w14:textId="77777777" w:rsidR="007E13DE" w:rsidRDefault="00000000">
            <w:pPr>
              <w:tabs>
                <w:tab w:val="center" w:pos="727"/>
                <w:tab w:val="center" w:pos="5157"/>
              </w:tabs>
              <w:spacing w:after="0"/>
            </w:pPr>
            <w:r>
              <w:tab/>
            </w:r>
            <w:r>
              <w:rPr>
                <w:noProof/>
              </w:rPr>
              <w:drawing>
                <wp:inline distT="0" distB="0" distL="0" distR="0" wp14:anchorId="35D777E4" wp14:editId="261F3E52">
                  <wp:extent cx="438912" cy="291084"/>
                  <wp:effectExtent l="0" t="0" r="0" b="0"/>
                  <wp:docPr id="1734" name="Picture 1734"/>
                  <wp:cNvGraphicFramePr/>
                  <a:graphic xmlns:a="http://schemas.openxmlformats.org/drawingml/2006/main">
                    <a:graphicData uri="http://schemas.openxmlformats.org/drawingml/2006/picture">
                      <pic:pic xmlns:pic="http://schemas.openxmlformats.org/drawingml/2006/picture">
                        <pic:nvPicPr>
                          <pic:cNvPr id="1734" name="Picture 1734"/>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1D11B309"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4E9AA0A5" w14:textId="77777777" w:rsidR="007E13DE" w:rsidRDefault="00000000">
            <w:pPr>
              <w:spacing w:after="0"/>
              <w:ind w:right="5"/>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75ED39FF"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4B0E129F" w14:textId="77777777" w:rsidR="007E13DE" w:rsidRDefault="00000000">
            <w:pPr>
              <w:spacing w:after="0"/>
              <w:ind w:right="13"/>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55D52370"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28D6DC7B" w14:textId="77777777" w:rsidR="007E13DE" w:rsidRDefault="00000000">
            <w:pPr>
              <w:spacing w:after="0"/>
              <w:ind w:right="17"/>
              <w:jc w:val="center"/>
            </w:pPr>
            <w:r>
              <w:rPr>
                <w:rFonts w:ascii="Times New Roman" w:eastAsia="Times New Roman" w:hAnsi="Times New Roman" w:cs="Times New Roman"/>
                <w:color w:val="0000FF"/>
                <w:sz w:val="10"/>
              </w:rPr>
              <w:t>CONTRIBUIÇÕES RECEBIDAS</w:t>
            </w:r>
          </w:p>
        </w:tc>
      </w:tr>
      <w:tr w:rsidR="007E13DE" w14:paraId="39456904"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6CBD67D6"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3EC13665" w14:textId="77777777">
        <w:trPr>
          <w:trHeight w:val="79"/>
        </w:trPr>
        <w:tc>
          <w:tcPr>
            <w:tcW w:w="5162" w:type="dxa"/>
            <w:tcBorders>
              <w:top w:val="double" w:sz="5" w:space="0" w:color="000000"/>
              <w:left w:val="single" w:sz="5" w:space="0" w:color="000000"/>
              <w:bottom w:val="double" w:sz="5" w:space="0" w:color="000000"/>
              <w:right w:val="single" w:sz="5" w:space="0" w:color="000000"/>
            </w:tcBorders>
          </w:tcPr>
          <w:p w14:paraId="36DA8410" w14:textId="77777777" w:rsidR="007E13DE" w:rsidRDefault="00000000">
            <w:pPr>
              <w:spacing w:after="0"/>
              <w:ind w:right="15"/>
              <w:jc w:val="center"/>
            </w:pPr>
            <w:r>
              <w:rPr>
                <w:rFonts w:ascii="Times New Roman" w:eastAsia="Times New Roman" w:hAnsi="Times New Roman" w:cs="Times New Roman"/>
                <w:color w:val="FFFFFF"/>
                <w:sz w:val="10"/>
              </w:rPr>
              <w:t xml:space="preserve">TEXTO/ANEEL </w:t>
            </w:r>
          </w:p>
        </w:tc>
        <w:tc>
          <w:tcPr>
            <w:tcW w:w="1205" w:type="dxa"/>
            <w:vMerge w:val="restart"/>
            <w:tcBorders>
              <w:top w:val="double" w:sz="5" w:space="0" w:color="000000"/>
              <w:left w:val="single" w:sz="3" w:space="0" w:color="000000"/>
              <w:bottom w:val="nil"/>
              <w:right w:val="nil"/>
            </w:tcBorders>
          </w:tcPr>
          <w:p w14:paraId="780929D5" w14:textId="77777777" w:rsidR="007E13DE" w:rsidRDefault="00000000">
            <w:pPr>
              <w:spacing w:after="0"/>
              <w:ind w:right="15"/>
              <w:jc w:val="center"/>
            </w:pPr>
            <w:r>
              <w:rPr>
                <w:rFonts w:ascii="Times New Roman" w:eastAsia="Times New Roman" w:hAnsi="Times New Roman" w:cs="Times New Roman"/>
                <w:color w:val="FFFFFF"/>
                <w:sz w:val="8"/>
              </w:rPr>
              <w:t>TEXTO/INSTITUIÇÃO</w:t>
            </w:r>
          </w:p>
        </w:tc>
        <w:tc>
          <w:tcPr>
            <w:tcW w:w="3967" w:type="dxa"/>
            <w:vMerge w:val="restart"/>
            <w:tcBorders>
              <w:top w:val="double" w:sz="5" w:space="0" w:color="000000"/>
              <w:left w:val="nil"/>
              <w:bottom w:val="nil"/>
              <w:right w:val="nil"/>
            </w:tcBorders>
          </w:tcPr>
          <w:p w14:paraId="1296D049" w14:textId="77777777" w:rsidR="007E13DE" w:rsidRDefault="00000000">
            <w:pPr>
              <w:spacing w:after="0"/>
              <w:ind w:right="15"/>
              <w:jc w:val="center"/>
            </w:pPr>
            <w:r>
              <w:rPr>
                <w:rFonts w:ascii="Times New Roman" w:eastAsia="Times New Roman" w:hAnsi="Times New Roman" w:cs="Times New Roman"/>
                <w:color w:val="FFFFFF"/>
                <w:sz w:val="8"/>
              </w:rPr>
              <w:t>JUSTIFICATIVA/INSTITUIÇÃO</w:t>
            </w:r>
          </w:p>
        </w:tc>
      </w:tr>
      <w:tr w:rsidR="007E13DE" w14:paraId="7B82B915" w14:textId="77777777">
        <w:trPr>
          <w:trHeight w:val="440"/>
        </w:trPr>
        <w:tc>
          <w:tcPr>
            <w:tcW w:w="5162" w:type="dxa"/>
            <w:tcBorders>
              <w:top w:val="double" w:sz="5" w:space="0" w:color="000000"/>
              <w:left w:val="single" w:sz="3" w:space="0" w:color="000000"/>
              <w:bottom w:val="single" w:sz="3" w:space="0" w:color="000000"/>
              <w:right w:val="single" w:sz="3" w:space="0" w:color="000000"/>
            </w:tcBorders>
          </w:tcPr>
          <w:p w14:paraId="15508B2C" w14:textId="77777777" w:rsidR="007E13DE" w:rsidRDefault="00000000">
            <w:pPr>
              <w:spacing w:after="0" w:line="286" w:lineRule="auto"/>
              <w:ind w:left="2"/>
            </w:pPr>
            <w:r>
              <w:rPr>
                <w:rFonts w:ascii="Times New Roman" w:eastAsia="Times New Roman" w:hAnsi="Times New Roman" w:cs="Times New Roman"/>
                <w:sz w:val="8"/>
              </w:rPr>
              <w:t xml:space="preserve">100. No caso de dispensa por urgência, o Decreto no 10.411/2020 determina em seu Art. 4o, § 2o, que a nota técnica deverá, obrigatoriamente, identificar o problema regulatório que se pretende solucionar e os objetivos que se pretende alcançar, de modo a subsidiar a elaboração da </w:t>
            </w:r>
          </w:p>
          <w:p w14:paraId="4DF7DF97" w14:textId="77777777" w:rsidR="007E13DE" w:rsidRDefault="00000000">
            <w:pPr>
              <w:spacing w:after="0"/>
              <w:ind w:left="2"/>
            </w:pPr>
            <w:r>
              <w:rPr>
                <w:rFonts w:ascii="Times New Roman" w:eastAsia="Times New Roman" w:hAnsi="Times New Roman" w:cs="Times New Roman"/>
                <w:sz w:val="8"/>
              </w:rPr>
              <w:t>Avaliação de Resultado Regulatório (ARR). A referida ARR deverá ser elaborada no prazo de três anos, conforme disposto no Art. 12 do Decreto.</w:t>
            </w:r>
          </w:p>
        </w:tc>
        <w:tc>
          <w:tcPr>
            <w:tcW w:w="0" w:type="auto"/>
            <w:vMerge/>
            <w:tcBorders>
              <w:top w:val="nil"/>
              <w:left w:val="single" w:sz="3" w:space="0" w:color="000000"/>
              <w:bottom w:val="nil"/>
              <w:right w:val="nil"/>
            </w:tcBorders>
          </w:tcPr>
          <w:p w14:paraId="39497E12" w14:textId="77777777" w:rsidR="007E13DE" w:rsidRDefault="007E13DE"/>
        </w:tc>
        <w:tc>
          <w:tcPr>
            <w:tcW w:w="0" w:type="auto"/>
            <w:vMerge/>
            <w:tcBorders>
              <w:top w:val="nil"/>
              <w:left w:val="nil"/>
              <w:bottom w:val="nil"/>
              <w:right w:val="nil"/>
            </w:tcBorders>
          </w:tcPr>
          <w:p w14:paraId="537646B0" w14:textId="77777777" w:rsidR="007E13DE" w:rsidRDefault="007E13DE"/>
        </w:tc>
      </w:tr>
      <w:tr w:rsidR="007E13DE" w14:paraId="7549194A"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61035117" w14:textId="77777777" w:rsidR="007E13DE" w:rsidRDefault="00000000">
            <w:pPr>
              <w:spacing w:after="0"/>
              <w:ind w:left="2"/>
            </w:pPr>
            <w:r>
              <w:rPr>
                <w:rFonts w:ascii="Times New Roman" w:eastAsia="Times New Roman" w:hAnsi="Times New Roman" w:cs="Times New Roman"/>
                <w:sz w:val="8"/>
              </w:rPr>
              <w:t>101. A Norma de Organização da ANEEL no 40, de 12 de março de 2013, aprovada pela Resolução Normativa nº 941, de 6 de julho de 2021, dispõe sobre a realização de AIR no âmbito da ANEEL. O Art. 7º da referida norma prevê as situações em que a AIR poderá ser dispensada, mediante justificativa e decisão da Diretoria da ANEEL. Dentre as hipóteses de dispensa de AIR, está indicada a necessidade de urgência.</w:t>
            </w:r>
          </w:p>
        </w:tc>
        <w:tc>
          <w:tcPr>
            <w:tcW w:w="0" w:type="auto"/>
            <w:vMerge/>
            <w:tcBorders>
              <w:top w:val="nil"/>
              <w:left w:val="single" w:sz="3" w:space="0" w:color="000000"/>
              <w:bottom w:val="nil"/>
              <w:right w:val="nil"/>
            </w:tcBorders>
          </w:tcPr>
          <w:p w14:paraId="574ABFF0" w14:textId="77777777" w:rsidR="007E13DE" w:rsidRDefault="007E13DE"/>
        </w:tc>
        <w:tc>
          <w:tcPr>
            <w:tcW w:w="0" w:type="auto"/>
            <w:vMerge/>
            <w:tcBorders>
              <w:top w:val="nil"/>
              <w:left w:val="nil"/>
              <w:bottom w:val="nil"/>
              <w:right w:val="nil"/>
            </w:tcBorders>
          </w:tcPr>
          <w:p w14:paraId="69B23932" w14:textId="77777777" w:rsidR="007E13DE" w:rsidRDefault="007E13DE"/>
        </w:tc>
      </w:tr>
      <w:tr w:rsidR="007E13DE" w14:paraId="196A1FD0"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105C1BD4" w14:textId="77777777" w:rsidR="007E13DE" w:rsidRDefault="00000000">
            <w:pPr>
              <w:spacing w:after="0"/>
              <w:ind w:left="2"/>
            </w:pPr>
            <w:r>
              <w:rPr>
                <w:rFonts w:ascii="Times New Roman" w:eastAsia="Times New Roman" w:hAnsi="Times New Roman" w:cs="Times New Roman"/>
                <w:sz w:val="8"/>
              </w:rPr>
              <w:t>102. O parágrafo único do Art. 7o da Norma de Organização da ANEEL no 40, de 12 de março de 2013, prevê que na hipótese de dispensa de AIR em razão de urgência, a nota técnica deverá, obrigatoriamente, identificar o problema regulatório que se pretende solucionar e os objetivos que se pretende alcançar, de modo a subsidiar a elaboração da ARR. A referida ARR deverá ser elaborada no prazo máximo de dois anos, a contar da entrada em vigor do ato normativo.</w:t>
            </w:r>
          </w:p>
        </w:tc>
        <w:tc>
          <w:tcPr>
            <w:tcW w:w="0" w:type="auto"/>
            <w:vMerge/>
            <w:tcBorders>
              <w:top w:val="nil"/>
              <w:left w:val="single" w:sz="3" w:space="0" w:color="000000"/>
              <w:bottom w:val="nil"/>
              <w:right w:val="nil"/>
            </w:tcBorders>
          </w:tcPr>
          <w:p w14:paraId="38A455E1" w14:textId="77777777" w:rsidR="007E13DE" w:rsidRDefault="007E13DE"/>
        </w:tc>
        <w:tc>
          <w:tcPr>
            <w:tcW w:w="0" w:type="auto"/>
            <w:vMerge/>
            <w:tcBorders>
              <w:top w:val="nil"/>
              <w:left w:val="nil"/>
              <w:bottom w:val="nil"/>
              <w:right w:val="nil"/>
            </w:tcBorders>
          </w:tcPr>
          <w:p w14:paraId="137F659E" w14:textId="77777777" w:rsidR="007E13DE" w:rsidRDefault="007E13DE"/>
        </w:tc>
      </w:tr>
      <w:tr w:rsidR="007E13DE" w14:paraId="09FA815C"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175337FF" w14:textId="77777777" w:rsidR="007E13DE" w:rsidRDefault="00000000">
            <w:pPr>
              <w:spacing w:after="0"/>
              <w:ind w:left="2"/>
            </w:pPr>
            <w:r>
              <w:rPr>
                <w:rFonts w:ascii="Times New Roman" w:eastAsia="Times New Roman" w:hAnsi="Times New Roman" w:cs="Times New Roman"/>
                <w:sz w:val="8"/>
              </w:rPr>
              <w:t>103. A presente nota técnica identifica o problema regulatório que se pretende solucionar e os objetivos que se pretende alcançar, de modo a subsidiar a decisão Diretoria da ANEEL.</w:t>
            </w:r>
          </w:p>
        </w:tc>
        <w:tc>
          <w:tcPr>
            <w:tcW w:w="0" w:type="auto"/>
            <w:vMerge/>
            <w:tcBorders>
              <w:top w:val="nil"/>
              <w:left w:val="single" w:sz="3" w:space="0" w:color="000000"/>
              <w:bottom w:val="nil"/>
              <w:right w:val="nil"/>
            </w:tcBorders>
          </w:tcPr>
          <w:p w14:paraId="6E97E569" w14:textId="77777777" w:rsidR="007E13DE" w:rsidRDefault="007E13DE"/>
        </w:tc>
        <w:tc>
          <w:tcPr>
            <w:tcW w:w="0" w:type="auto"/>
            <w:vMerge/>
            <w:tcBorders>
              <w:top w:val="nil"/>
              <w:left w:val="nil"/>
              <w:bottom w:val="nil"/>
              <w:right w:val="nil"/>
            </w:tcBorders>
          </w:tcPr>
          <w:p w14:paraId="5448DAB0" w14:textId="77777777" w:rsidR="007E13DE" w:rsidRDefault="007E13DE"/>
        </w:tc>
      </w:tr>
      <w:tr w:rsidR="007E13DE" w14:paraId="3CA5254A"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A415DB7" w14:textId="77777777" w:rsidR="007E13DE" w:rsidRDefault="00000000">
            <w:pPr>
              <w:spacing w:after="11"/>
              <w:ind w:left="2"/>
            </w:pPr>
            <w:r>
              <w:rPr>
                <w:rFonts w:ascii="Times New Roman" w:eastAsia="Times New Roman" w:hAnsi="Times New Roman" w:cs="Times New Roman"/>
                <w:sz w:val="8"/>
              </w:rPr>
              <w:t xml:space="preserve">104. Conforme demonstrado na Tabela 2, existe a perspectiva de solicitação de conexão de unidades consumidoras de alta potência na Rede </w:t>
            </w:r>
          </w:p>
          <w:p w14:paraId="68B537A1" w14:textId="77777777" w:rsidR="007E13DE" w:rsidRDefault="00000000">
            <w:pPr>
              <w:spacing w:after="0"/>
              <w:ind w:left="2"/>
            </w:pPr>
            <w:r>
              <w:rPr>
                <w:rFonts w:ascii="Times New Roman" w:eastAsia="Times New Roman" w:hAnsi="Times New Roman" w:cs="Times New Roman"/>
                <w:sz w:val="8"/>
              </w:rPr>
              <w:t>Básica no curto prazo, o poderá causar, também no curto prazo, os problemas já elencados no item III.5 desta Nota Técnica</w:t>
            </w:r>
          </w:p>
        </w:tc>
        <w:tc>
          <w:tcPr>
            <w:tcW w:w="0" w:type="auto"/>
            <w:vMerge/>
            <w:tcBorders>
              <w:top w:val="nil"/>
              <w:left w:val="single" w:sz="3" w:space="0" w:color="000000"/>
              <w:bottom w:val="nil"/>
              <w:right w:val="nil"/>
            </w:tcBorders>
          </w:tcPr>
          <w:p w14:paraId="0B2408E3" w14:textId="77777777" w:rsidR="007E13DE" w:rsidRDefault="007E13DE"/>
        </w:tc>
        <w:tc>
          <w:tcPr>
            <w:tcW w:w="0" w:type="auto"/>
            <w:vMerge/>
            <w:tcBorders>
              <w:top w:val="nil"/>
              <w:left w:val="nil"/>
              <w:bottom w:val="nil"/>
              <w:right w:val="nil"/>
            </w:tcBorders>
          </w:tcPr>
          <w:p w14:paraId="0075A770" w14:textId="77777777" w:rsidR="007E13DE" w:rsidRDefault="007E13DE"/>
        </w:tc>
      </w:tr>
      <w:tr w:rsidR="007E13DE" w14:paraId="428B6F09"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6946B2A" w14:textId="77777777" w:rsidR="007E13DE" w:rsidRDefault="00000000">
            <w:pPr>
              <w:spacing w:after="0"/>
              <w:ind w:left="2" w:right="10"/>
            </w:pPr>
            <w:r>
              <w:rPr>
                <w:rFonts w:ascii="Times New Roman" w:eastAsia="Times New Roman" w:hAnsi="Times New Roman" w:cs="Times New Roman"/>
                <w:sz w:val="8"/>
              </w:rPr>
              <w:t>105. Entendemos que todos os problemas elencados devem ser tratados com urgência, evitando que estes problemas surjam no curto prazo, por meio de solução similar à que foi implementada para centrais geradoras, que trata de todos os problemas elencados no parágrafo 49, com exceção do item “a)”.</w:t>
            </w:r>
          </w:p>
        </w:tc>
        <w:tc>
          <w:tcPr>
            <w:tcW w:w="0" w:type="auto"/>
            <w:vMerge/>
            <w:tcBorders>
              <w:top w:val="nil"/>
              <w:left w:val="single" w:sz="3" w:space="0" w:color="000000"/>
              <w:bottom w:val="nil"/>
              <w:right w:val="nil"/>
            </w:tcBorders>
          </w:tcPr>
          <w:p w14:paraId="26E0030D" w14:textId="77777777" w:rsidR="007E13DE" w:rsidRDefault="007E13DE"/>
        </w:tc>
        <w:tc>
          <w:tcPr>
            <w:tcW w:w="0" w:type="auto"/>
            <w:vMerge/>
            <w:tcBorders>
              <w:top w:val="nil"/>
              <w:left w:val="nil"/>
              <w:bottom w:val="nil"/>
              <w:right w:val="nil"/>
            </w:tcBorders>
          </w:tcPr>
          <w:p w14:paraId="7AE1C690" w14:textId="77777777" w:rsidR="007E13DE" w:rsidRDefault="007E13DE"/>
        </w:tc>
      </w:tr>
      <w:tr w:rsidR="007E13DE" w14:paraId="50344C78"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A2F7552" w14:textId="77777777" w:rsidR="007E13DE" w:rsidRDefault="00000000">
            <w:pPr>
              <w:spacing w:after="0"/>
              <w:ind w:left="2" w:right="12"/>
            </w:pPr>
            <w:r>
              <w:rPr>
                <w:rFonts w:ascii="Times New Roman" w:eastAsia="Times New Roman" w:hAnsi="Times New Roman" w:cs="Times New Roman"/>
                <w:sz w:val="8"/>
              </w:rPr>
              <w:t>106. Conforme mencionado, o item “a)” do parágrafo 49 deve ser estudado, porém a sua complexidade exige avaliação mais aprofundada, motivo pelo qual não será tratado neste processo.</w:t>
            </w:r>
          </w:p>
        </w:tc>
        <w:tc>
          <w:tcPr>
            <w:tcW w:w="0" w:type="auto"/>
            <w:vMerge/>
            <w:tcBorders>
              <w:top w:val="nil"/>
              <w:left w:val="single" w:sz="3" w:space="0" w:color="000000"/>
              <w:bottom w:val="nil"/>
              <w:right w:val="nil"/>
            </w:tcBorders>
          </w:tcPr>
          <w:p w14:paraId="09B4CED1" w14:textId="77777777" w:rsidR="007E13DE" w:rsidRDefault="007E13DE"/>
        </w:tc>
        <w:tc>
          <w:tcPr>
            <w:tcW w:w="0" w:type="auto"/>
            <w:vMerge/>
            <w:tcBorders>
              <w:top w:val="nil"/>
              <w:left w:val="nil"/>
              <w:bottom w:val="nil"/>
              <w:right w:val="nil"/>
            </w:tcBorders>
          </w:tcPr>
          <w:p w14:paraId="786EDD7F" w14:textId="77777777" w:rsidR="007E13DE" w:rsidRDefault="007E13DE"/>
        </w:tc>
      </w:tr>
      <w:tr w:rsidR="007E13DE" w14:paraId="7DE6B49B"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16670D6" w14:textId="77777777" w:rsidR="007E13DE" w:rsidRDefault="00000000">
            <w:pPr>
              <w:spacing w:after="0"/>
              <w:ind w:left="2"/>
            </w:pPr>
            <w:r>
              <w:rPr>
                <w:rFonts w:ascii="Times New Roman" w:eastAsia="Times New Roman" w:hAnsi="Times New Roman" w:cs="Times New Roman"/>
                <w:sz w:val="8"/>
              </w:rPr>
              <w:t>Destacamos que as possíveis soluções para este problema podem envolver mudanças legislativas, as quais não seriam competência da ANEEL.</w:t>
            </w:r>
          </w:p>
        </w:tc>
        <w:tc>
          <w:tcPr>
            <w:tcW w:w="0" w:type="auto"/>
            <w:vMerge/>
            <w:tcBorders>
              <w:top w:val="nil"/>
              <w:left w:val="single" w:sz="3" w:space="0" w:color="000000"/>
              <w:bottom w:val="nil"/>
              <w:right w:val="nil"/>
            </w:tcBorders>
          </w:tcPr>
          <w:p w14:paraId="52038208" w14:textId="77777777" w:rsidR="007E13DE" w:rsidRDefault="007E13DE"/>
        </w:tc>
        <w:tc>
          <w:tcPr>
            <w:tcW w:w="0" w:type="auto"/>
            <w:vMerge/>
            <w:tcBorders>
              <w:top w:val="nil"/>
              <w:left w:val="nil"/>
              <w:bottom w:val="nil"/>
              <w:right w:val="nil"/>
            </w:tcBorders>
          </w:tcPr>
          <w:p w14:paraId="6BA040E6" w14:textId="77777777" w:rsidR="007E13DE" w:rsidRDefault="007E13DE"/>
        </w:tc>
      </w:tr>
      <w:tr w:rsidR="007E13DE" w14:paraId="220EC6AE"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6ABA4A8" w14:textId="77777777" w:rsidR="007E13DE" w:rsidRDefault="00000000">
            <w:pPr>
              <w:spacing w:after="0"/>
              <w:ind w:left="2"/>
            </w:pPr>
            <w:r>
              <w:rPr>
                <w:rFonts w:ascii="Times New Roman" w:eastAsia="Times New Roman" w:hAnsi="Times New Roman" w:cs="Times New Roman"/>
                <w:sz w:val="8"/>
              </w:rPr>
              <w:t>107. Assim, devido a necessidade de tratamento urgente dos problemas apontados nos itens “b)”, “c)” e “d)” do parágrafo 49, será proposta neste momento, as alterações regulatórias que entendemos necessárias, modificando o Módulo 5 das Regras dos Serviços de Transmissão de Energia Elétrica, em anexo.</w:t>
            </w:r>
          </w:p>
        </w:tc>
        <w:tc>
          <w:tcPr>
            <w:tcW w:w="0" w:type="auto"/>
            <w:vMerge/>
            <w:tcBorders>
              <w:top w:val="nil"/>
              <w:left w:val="single" w:sz="3" w:space="0" w:color="000000"/>
              <w:bottom w:val="nil"/>
              <w:right w:val="nil"/>
            </w:tcBorders>
          </w:tcPr>
          <w:p w14:paraId="51D88EBB" w14:textId="77777777" w:rsidR="007E13DE" w:rsidRDefault="007E13DE"/>
        </w:tc>
        <w:tc>
          <w:tcPr>
            <w:tcW w:w="0" w:type="auto"/>
            <w:vMerge/>
            <w:tcBorders>
              <w:top w:val="nil"/>
              <w:left w:val="nil"/>
              <w:bottom w:val="nil"/>
              <w:right w:val="nil"/>
            </w:tcBorders>
          </w:tcPr>
          <w:p w14:paraId="7BE883A2" w14:textId="77777777" w:rsidR="007E13DE" w:rsidRDefault="007E13DE"/>
        </w:tc>
      </w:tr>
      <w:tr w:rsidR="007E13DE" w14:paraId="71D50F33"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2BE8B92F" w14:textId="77777777" w:rsidR="007E13DE" w:rsidRDefault="00000000">
            <w:pPr>
              <w:spacing w:after="0"/>
              <w:ind w:left="2"/>
            </w:pPr>
            <w:r>
              <w:rPr>
                <w:rFonts w:ascii="Times New Roman" w:eastAsia="Times New Roman" w:hAnsi="Times New Roman" w:cs="Times New Roman"/>
                <w:sz w:val="8"/>
              </w:rPr>
              <w:t>108. Os objetivos que pretendemos alcançar com esta alteração normativa são:</w:t>
            </w:r>
          </w:p>
        </w:tc>
        <w:tc>
          <w:tcPr>
            <w:tcW w:w="0" w:type="auto"/>
            <w:vMerge/>
            <w:tcBorders>
              <w:top w:val="nil"/>
              <w:left w:val="single" w:sz="3" w:space="0" w:color="000000"/>
              <w:bottom w:val="nil"/>
              <w:right w:val="nil"/>
            </w:tcBorders>
          </w:tcPr>
          <w:p w14:paraId="1A150DDA" w14:textId="77777777" w:rsidR="007E13DE" w:rsidRDefault="007E13DE"/>
        </w:tc>
        <w:tc>
          <w:tcPr>
            <w:tcW w:w="0" w:type="auto"/>
            <w:vMerge/>
            <w:tcBorders>
              <w:top w:val="nil"/>
              <w:left w:val="nil"/>
              <w:bottom w:val="nil"/>
              <w:right w:val="nil"/>
            </w:tcBorders>
          </w:tcPr>
          <w:p w14:paraId="34C12C81" w14:textId="77777777" w:rsidR="007E13DE" w:rsidRDefault="007E13DE"/>
        </w:tc>
      </w:tr>
      <w:tr w:rsidR="007E13DE" w14:paraId="51BC411F"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15B51C87" w14:textId="77777777" w:rsidR="007E13DE" w:rsidRDefault="00000000">
            <w:pPr>
              <w:spacing w:after="0"/>
              <w:ind w:left="370" w:right="12"/>
            </w:pPr>
            <w:r>
              <w:rPr>
                <w:rFonts w:ascii="Times New Roman" w:eastAsia="Times New Roman" w:hAnsi="Times New Roman" w:cs="Times New Roman"/>
                <w:sz w:val="8"/>
              </w:rPr>
              <w:t>a) Evitar solicitações de Portarias ao MME, de Pareceres de Acesso ao ONS e de Autorizações à ANEEL por unidades consumidoras que não irão efetivamente se conectar na Rede Básica; e</w:t>
            </w:r>
          </w:p>
        </w:tc>
        <w:tc>
          <w:tcPr>
            <w:tcW w:w="0" w:type="auto"/>
            <w:vMerge/>
            <w:tcBorders>
              <w:top w:val="nil"/>
              <w:left w:val="single" w:sz="3" w:space="0" w:color="000000"/>
              <w:bottom w:val="nil"/>
              <w:right w:val="nil"/>
            </w:tcBorders>
          </w:tcPr>
          <w:p w14:paraId="60142A67" w14:textId="77777777" w:rsidR="007E13DE" w:rsidRDefault="007E13DE"/>
        </w:tc>
        <w:tc>
          <w:tcPr>
            <w:tcW w:w="0" w:type="auto"/>
            <w:vMerge/>
            <w:tcBorders>
              <w:top w:val="nil"/>
              <w:left w:val="nil"/>
              <w:bottom w:val="nil"/>
              <w:right w:val="nil"/>
            </w:tcBorders>
          </w:tcPr>
          <w:p w14:paraId="00AB9693" w14:textId="77777777" w:rsidR="007E13DE" w:rsidRDefault="007E13DE"/>
        </w:tc>
      </w:tr>
      <w:tr w:rsidR="007E13DE" w14:paraId="7BB3193F"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3E1B1330" w14:textId="77777777" w:rsidR="007E13DE" w:rsidRDefault="00000000">
            <w:pPr>
              <w:spacing w:after="0"/>
              <w:ind w:left="370"/>
            </w:pPr>
            <w:r>
              <w:rPr>
                <w:rFonts w:ascii="Times New Roman" w:eastAsia="Times New Roman" w:hAnsi="Times New Roman" w:cs="Times New Roman"/>
                <w:sz w:val="8"/>
              </w:rPr>
              <w:t>b) Evitar que unidades consumidoras reservem a rede de transmissão de forma inapropriada, ou seja, reservem a rede de transmissão objetivando impedir o acesso de algum concorrente comercial ou reservem a rede de transmissão por um período e depois desistam da conexão.</w:t>
            </w:r>
          </w:p>
        </w:tc>
        <w:tc>
          <w:tcPr>
            <w:tcW w:w="0" w:type="auto"/>
            <w:vMerge/>
            <w:tcBorders>
              <w:top w:val="nil"/>
              <w:left w:val="single" w:sz="3" w:space="0" w:color="000000"/>
              <w:bottom w:val="nil"/>
              <w:right w:val="nil"/>
            </w:tcBorders>
          </w:tcPr>
          <w:p w14:paraId="2FBBDDF9" w14:textId="77777777" w:rsidR="007E13DE" w:rsidRDefault="007E13DE"/>
        </w:tc>
        <w:tc>
          <w:tcPr>
            <w:tcW w:w="0" w:type="auto"/>
            <w:vMerge/>
            <w:tcBorders>
              <w:top w:val="nil"/>
              <w:left w:val="nil"/>
              <w:bottom w:val="nil"/>
              <w:right w:val="nil"/>
            </w:tcBorders>
          </w:tcPr>
          <w:p w14:paraId="553F6283" w14:textId="77777777" w:rsidR="007E13DE" w:rsidRDefault="007E13DE"/>
        </w:tc>
      </w:tr>
      <w:tr w:rsidR="007E13DE" w14:paraId="20396137"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0DC880A" w14:textId="77777777" w:rsidR="007E13DE" w:rsidRDefault="00000000">
            <w:pPr>
              <w:spacing w:after="0"/>
              <w:ind w:left="2"/>
              <w:jc w:val="both"/>
            </w:pPr>
            <w:r>
              <w:rPr>
                <w:rFonts w:ascii="Times New Roman" w:eastAsia="Times New Roman" w:hAnsi="Times New Roman" w:cs="Times New Roman"/>
                <w:sz w:val="8"/>
              </w:rPr>
              <w:t>109. Desta forma, entendemos que os requisitos para a dispensa do AIR estão cumpridos, estando o processo apto para deliberação da diretoria da ANEEL.</w:t>
            </w:r>
          </w:p>
        </w:tc>
        <w:tc>
          <w:tcPr>
            <w:tcW w:w="0" w:type="auto"/>
            <w:vMerge/>
            <w:tcBorders>
              <w:top w:val="nil"/>
              <w:left w:val="single" w:sz="3" w:space="0" w:color="000000"/>
              <w:bottom w:val="nil"/>
              <w:right w:val="nil"/>
            </w:tcBorders>
          </w:tcPr>
          <w:p w14:paraId="475BAEBD" w14:textId="77777777" w:rsidR="007E13DE" w:rsidRDefault="007E13DE"/>
        </w:tc>
        <w:tc>
          <w:tcPr>
            <w:tcW w:w="0" w:type="auto"/>
            <w:vMerge/>
            <w:tcBorders>
              <w:top w:val="nil"/>
              <w:left w:val="nil"/>
              <w:bottom w:val="nil"/>
              <w:right w:val="nil"/>
            </w:tcBorders>
          </w:tcPr>
          <w:p w14:paraId="234B70F6" w14:textId="77777777" w:rsidR="007E13DE" w:rsidRDefault="007E13DE"/>
        </w:tc>
      </w:tr>
      <w:tr w:rsidR="007E13DE" w14:paraId="6E949672"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4533845" w14:textId="77777777" w:rsidR="007E13DE" w:rsidRDefault="00000000">
            <w:pPr>
              <w:spacing w:after="0"/>
              <w:ind w:left="5"/>
            </w:pPr>
            <w:r>
              <w:rPr>
                <w:rFonts w:ascii="Times New Roman" w:eastAsia="Times New Roman" w:hAnsi="Times New Roman" w:cs="Times New Roman"/>
                <w:sz w:val="11"/>
              </w:rPr>
              <w:t>III.8 – Da base legal</w:t>
            </w:r>
          </w:p>
        </w:tc>
        <w:tc>
          <w:tcPr>
            <w:tcW w:w="0" w:type="auto"/>
            <w:vMerge/>
            <w:tcBorders>
              <w:top w:val="nil"/>
              <w:left w:val="single" w:sz="3" w:space="0" w:color="000000"/>
              <w:bottom w:val="nil"/>
              <w:right w:val="nil"/>
            </w:tcBorders>
          </w:tcPr>
          <w:p w14:paraId="17A29F3D" w14:textId="77777777" w:rsidR="007E13DE" w:rsidRDefault="007E13DE"/>
        </w:tc>
        <w:tc>
          <w:tcPr>
            <w:tcW w:w="0" w:type="auto"/>
            <w:vMerge/>
            <w:tcBorders>
              <w:top w:val="nil"/>
              <w:left w:val="nil"/>
              <w:bottom w:val="nil"/>
              <w:right w:val="nil"/>
            </w:tcBorders>
          </w:tcPr>
          <w:p w14:paraId="54C3976A" w14:textId="77777777" w:rsidR="007E13DE" w:rsidRDefault="007E13DE"/>
        </w:tc>
      </w:tr>
      <w:tr w:rsidR="007E13DE" w14:paraId="2D2B68B6"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555C848E" w14:textId="77777777" w:rsidR="007E13DE" w:rsidRDefault="00000000">
            <w:pPr>
              <w:spacing w:after="0"/>
              <w:ind w:left="2"/>
            </w:pPr>
            <w:r>
              <w:rPr>
                <w:rFonts w:ascii="Times New Roman" w:eastAsia="Times New Roman" w:hAnsi="Times New Roman" w:cs="Times New Roman"/>
                <w:sz w:val="8"/>
              </w:rPr>
              <w:t>110. A base legal para atuação da ANEEL no tema abordado nesta nota técnica é disposta nos instrumentos a seguir descritos.</w:t>
            </w:r>
          </w:p>
        </w:tc>
        <w:tc>
          <w:tcPr>
            <w:tcW w:w="0" w:type="auto"/>
            <w:vMerge/>
            <w:tcBorders>
              <w:top w:val="nil"/>
              <w:left w:val="single" w:sz="3" w:space="0" w:color="000000"/>
              <w:bottom w:val="nil"/>
              <w:right w:val="nil"/>
            </w:tcBorders>
          </w:tcPr>
          <w:p w14:paraId="59562037" w14:textId="77777777" w:rsidR="007E13DE" w:rsidRDefault="007E13DE"/>
        </w:tc>
        <w:tc>
          <w:tcPr>
            <w:tcW w:w="0" w:type="auto"/>
            <w:vMerge/>
            <w:tcBorders>
              <w:top w:val="nil"/>
              <w:left w:val="nil"/>
              <w:bottom w:val="nil"/>
              <w:right w:val="nil"/>
            </w:tcBorders>
          </w:tcPr>
          <w:p w14:paraId="581EB5A5" w14:textId="77777777" w:rsidR="007E13DE" w:rsidRDefault="007E13DE"/>
        </w:tc>
      </w:tr>
      <w:tr w:rsidR="007E13DE" w14:paraId="0FF3A601"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55CEBED" w14:textId="77777777" w:rsidR="007E13DE" w:rsidRDefault="00000000">
            <w:pPr>
              <w:spacing w:after="0"/>
              <w:ind w:left="2"/>
            </w:pPr>
            <w:r>
              <w:rPr>
                <w:rFonts w:ascii="Times New Roman" w:eastAsia="Times New Roman" w:hAnsi="Times New Roman" w:cs="Times New Roman"/>
                <w:sz w:val="8"/>
              </w:rPr>
              <w:t>111. A Lei nº 9.427, de 26 de dezembro de 1996, institui a ANEEL e dispõe no Art. 2o sobre a atuação dessa agência.</w:t>
            </w:r>
          </w:p>
        </w:tc>
        <w:tc>
          <w:tcPr>
            <w:tcW w:w="0" w:type="auto"/>
            <w:vMerge/>
            <w:tcBorders>
              <w:top w:val="nil"/>
              <w:left w:val="single" w:sz="3" w:space="0" w:color="000000"/>
              <w:bottom w:val="nil"/>
              <w:right w:val="nil"/>
            </w:tcBorders>
          </w:tcPr>
          <w:p w14:paraId="08D3CCD3" w14:textId="77777777" w:rsidR="007E13DE" w:rsidRDefault="007E13DE"/>
        </w:tc>
        <w:tc>
          <w:tcPr>
            <w:tcW w:w="0" w:type="auto"/>
            <w:vMerge/>
            <w:tcBorders>
              <w:top w:val="nil"/>
              <w:left w:val="nil"/>
              <w:bottom w:val="nil"/>
              <w:right w:val="nil"/>
            </w:tcBorders>
          </w:tcPr>
          <w:p w14:paraId="40657984" w14:textId="77777777" w:rsidR="007E13DE" w:rsidRDefault="007E13DE"/>
        </w:tc>
      </w:tr>
      <w:tr w:rsidR="007E13DE" w14:paraId="3048DF56"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1134412B" w14:textId="77777777" w:rsidR="007E13DE" w:rsidRDefault="00000000">
            <w:pPr>
              <w:spacing w:after="0"/>
              <w:ind w:left="370"/>
            </w:pPr>
            <w:r>
              <w:rPr>
                <w:rFonts w:ascii="Times New Roman" w:eastAsia="Times New Roman" w:hAnsi="Times New Roman" w:cs="Times New Roman"/>
                <w:sz w:val="8"/>
              </w:rPr>
              <w:t>“Art. 2o A Agência Nacional de Energia Elétrica - ANEEL tem por finalidade regular e fiscalizar a produção, transmissão, distribuição e comercialização de energia elétrica, em conformidade com as políticas e diretrizes do governo federal.”</w:t>
            </w:r>
          </w:p>
        </w:tc>
        <w:tc>
          <w:tcPr>
            <w:tcW w:w="0" w:type="auto"/>
            <w:vMerge/>
            <w:tcBorders>
              <w:top w:val="nil"/>
              <w:left w:val="single" w:sz="3" w:space="0" w:color="000000"/>
              <w:bottom w:val="nil"/>
              <w:right w:val="nil"/>
            </w:tcBorders>
          </w:tcPr>
          <w:p w14:paraId="1CB4C911" w14:textId="77777777" w:rsidR="007E13DE" w:rsidRDefault="007E13DE"/>
        </w:tc>
        <w:tc>
          <w:tcPr>
            <w:tcW w:w="0" w:type="auto"/>
            <w:vMerge/>
            <w:tcBorders>
              <w:top w:val="nil"/>
              <w:left w:val="nil"/>
              <w:bottom w:val="nil"/>
              <w:right w:val="nil"/>
            </w:tcBorders>
          </w:tcPr>
          <w:p w14:paraId="5E925EBA" w14:textId="77777777" w:rsidR="007E13DE" w:rsidRDefault="007E13DE"/>
        </w:tc>
      </w:tr>
      <w:tr w:rsidR="007E13DE" w14:paraId="50B51B0D"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6ACB0F1" w14:textId="77777777" w:rsidR="007E13DE" w:rsidRDefault="00000000">
            <w:pPr>
              <w:spacing w:after="0"/>
              <w:ind w:left="2"/>
            </w:pPr>
            <w:r>
              <w:rPr>
                <w:rFonts w:ascii="Times New Roman" w:eastAsia="Times New Roman" w:hAnsi="Times New Roman" w:cs="Times New Roman"/>
                <w:sz w:val="8"/>
              </w:rPr>
              <w:t>112. A Lei nº 9.648, de 27 de maio de 1998, dispõe em seu Art. 9o sobre a contratação do acesso e uso dos sistemas de transmissão e distribuição.</w:t>
            </w:r>
          </w:p>
        </w:tc>
        <w:tc>
          <w:tcPr>
            <w:tcW w:w="0" w:type="auto"/>
            <w:vMerge/>
            <w:tcBorders>
              <w:top w:val="nil"/>
              <w:left w:val="single" w:sz="3" w:space="0" w:color="000000"/>
              <w:bottom w:val="nil"/>
              <w:right w:val="nil"/>
            </w:tcBorders>
          </w:tcPr>
          <w:p w14:paraId="5A0D116C" w14:textId="77777777" w:rsidR="007E13DE" w:rsidRDefault="007E13DE"/>
        </w:tc>
        <w:tc>
          <w:tcPr>
            <w:tcW w:w="0" w:type="auto"/>
            <w:vMerge/>
            <w:tcBorders>
              <w:top w:val="nil"/>
              <w:left w:val="nil"/>
              <w:bottom w:val="nil"/>
              <w:right w:val="nil"/>
            </w:tcBorders>
          </w:tcPr>
          <w:p w14:paraId="42625073" w14:textId="77777777" w:rsidR="007E13DE" w:rsidRDefault="007E13DE"/>
        </w:tc>
      </w:tr>
      <w:tr w:rsidR="007E13DE" w14:paraId="1283F7AA"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EDBA24E" w14:textId="77777777" w:rsidR="007E13DE" w:rsidRDefault="00000000">
            <w:pPr>
              <w:spacing w:after="0"/>
              <w:ind w:left="370"/>
            </w:pPr>
            <w:r>
              <w:rPr>
                <w:rFonts w:ascii="Times New Roman" w:eastAsia="Times New Roman" w:hAnsi="Times New Roman" w:cs="Times New Roman"/>
                <w:sz w:val="8"/>
              </w:rPr>
              <w:t>“Art. 9o Para todos os efeitos legais, a compra e venda de energia elétrica entre concessionários ou autorizados, deve ser contratada separadamente do acesso e uso dos sistemas de transmissão e distribuição.</w:t>
            </w:r>
          </w:p>
        </w:tc>
        <w:tc>
          <w:tcPr>
            <w:tcW w:w="0" w:type="auto"/>
            <w:vMerge/>
            <w:tcBorders>
              <w:top w:val="nil"/>
              <w:left w:val="single" w:sz="3" w:space="0" w:color="000000"/>
              <w:bottom w:val="nil"/>
              <w:right w:val="nil"/>
            </w:tcBorders>
          </w:tcPr>
          <w:p w14:paraId="5AEE6958" w14:textId="77777777" w:rsidR="007E13DE" w:rsidRDefault="007E13DE"/>
        </w:tc>
        <w:tc>
          <w:tcPr>
            <w:tcW w:w="0" w:type="auto"/>
            <w:vMerge/>
            <w:tcBorders>
              <w:top w:val="nil"/>
              <w:left w:val="nil"/>
              <w:bottom w:val="nil"/>
              <w:right w:val="nil"/>
            </w:tcBorders>
          </w:tcPr>
          <w:p w14:paraId="074C3B1A" w14:textId="77777777" w:rsidR="007E13DE" w:rsidRDefault="007E13DE"/>
        </w:tc>
      </w:tr>
      <w:tr w:rsidR="007E13DE" w14:paraId="52782B4C"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BC0F678" w14:textId="77777777" w:rsidR="007E13DE" w:rsidRDefault="00000000">
            <w:pPr>
              <w:spacing w:after="0"/>
              <w:ind w:left="737"/>
            </w:pPr>
            <w:r>
              <w:rPr>
                <w:rFonts w:ascii="Times New Roman" w:eastAsia="Times New Roman" w:hAnsi="Times New Roman" w:cs="Times New Roman"/>
                <w:sz w:val="8"/>
              </w:rPr>
              <w:t xml:space="preserve">Parágrafo único. Cabe à ANEEL regular as tarifas e estabelecer as condições gerais de contratação do acesso e uso dos sistemas de transmissão e de distribuição de energia elétrica por concessionário, permissionário e autorizado, bem como pelos consumidores de que tratam os </w:t>
            </w:r>
            <w:proofErr w:type="spellStart"/>
            <w:r>
              <w:rPr>
                <w:rFonts w:ascii="Times New Roman" w:eastAsia="Times New Roman" w:hAnsi="Times New Roman" w:cs="Times New Roman"/>
                <w:sz w:val="8"/>
              </w:rPr>
              <w:t>arts</w:t>
            </w:r>
            <w:proofErr w:type="spellEnd"/>
            <w:r>
              <w:rPr>
                <w:rFonts w:ascii="Times New Roman" w:eastAsia="Times New Roman" w:hAnsi="Times New Roman" w:cs="Times New Roman"/>
                <w:sz w:val="8"/>
              </w:rPr>
              <w:t>. 15 e 16 da Lei nº 9.074, de 1995.”</w:t>
            </w:r>
          </w:p>
        </w:tc>
        <w:tc>
          <w:tcPr>
            <w:tcW w:w="0" w:type="auto"/>
            <w:vMerge/>
            <w:tcBorders>
              <w:top w:val="nil"/>
              <w:left w:val="single" w:sz="3" w:space="0" w:color="000000"/>
              <w:bottom w:val="nil"/>
              <w:right w:val="nil"/>
            </w:tcBorders>
          </w:tcPr>
          <w:p w14:paraId="64BC3EE5" w14:textId="77777777" w:rsidR="007E13DE" w:rsidRDefault="007E13DE"/>
        </w:tc>
        <w:tc>
          <w:tcPr>
            <w:tcW w:w="0" w:type="auto"/>
            <w:vMerge/>
            <w:tcBorders>
              <w:top w:val="nil"/>
              <w:left w:val="nil"/>
              <w:bottom w:val="nil"/>
              <w:right w:val="nil"/>
            </w:tcBorders>
          </w:tcPr>
          <w:p w14:paraId="24C5C736" w14:textId="77777777" w:rsidR="007E13DE" w:rsidRDefault="007E13DE"/>
        </w:tc>
      </w:tr>
      <w:tr w:rsidR="007E13DE" w14:paraId="281015B8"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721E3CA" w14:textId="77777777" w:rsidR="007E13DE" w:rsidRDefault="00000000">
            <w:pPr>
              <w:spacing w:after="0"/>
              <w:ind w:left="2"/>
            </w:pPr>
            <w:r>
              <w:rPr>
                <w:rFonts w:ascii="Times New Roman" w:eastAsia="Times New Roman" w:hAnsi="Times New Roman" w:cs="Times New Roman"/>
                <w:sz w:val="8"/>
              </w:rPr>
              <w:t>113. O Decreto nº 2.655, de 2 de julho de 1998, dispõe sobre os objetivos a serem considerados pela ANEEL no estabelecimento das condições gerais do acesso aos sistemas de transmissão e de distribuição, compreendendo o uso e a conexão.</w:t>
            </w:r>
          </w:p>
        </w:tc>
        <w:tc>
          <w:tcPr>
            <w:tcW w:w="0" w:type="auto"/>
            <w:vMerge/>
            <w:tcBorders>
              <w:top w:val="nil"/>
              <w:left w:val="single" w:sz="3" w:space="0" w:color="000000"/>
              <w:bottom w:val="nil"/>
              <w:right w:val="nil"/>
            </w:tcBorders>
          </w:tcPr>
          <w:p w14:paraId="1A2CACC7" w14:textId="77777777" w:rsidR="007E13DE" w:rsidRDefault="007E13DE"/>
        </w:tc>
        <w:tc>
          <w:tcPr>
            <w:tcW w:w="0" w:type="auto"/>
            <w:vMerge/>
            <w:tcBorders>
              <w:top w:val="nil"/>
              <w:left w:val="nil"/>
              <w:bottom w:val="nil"/>
              <w:right w:val="nil"/>
            </w:tcBorders>
          </w:tcPr>
          <w:p w14:paraId="3EED1374" w14:textId="77777777" w:rsidR="007E13DE" w:rsidRDefault="007E13DE"/>
        </w:tc>
      </w:tr>
      <w:tr w:rsidR="007E13DE" w14:paraId="233EF261"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C1DFFC0" w14:textId="77777777" w:rsidR="007E13DE" w:rsidRDefault="00000000">
            <w:pPr>
              <w:spacing w:after="0"/>
              <w:ind w:left="492" w:right="19"/>
            </w:pPr>
            <w:r>
              <w:rPr>
                <w:rFonts w:ascii="Times New Roman" w:eastAsia="Times New Roman" w:hAnsi="Times New Roman" w:cs="Times New Roman"/>
                <w:sz w:val="8"/>
              </w:rPr>
              <w:t>“</w:t>
            </w:r>
            <w:proofErr w:type="spellStart"/>
            <w:r>
              <w:rPr>
                <w:rFonts w:ascii="Times New Roman" w:eastAsia="Times New Roman" w:hAnsi="Times New Roman" w:cs="Times New Roman"/>
                <w:sz w:val="8"/>
              </w:rPr>
              <w:t>Art</w:t>
            </w:r>
            <w:proofErr w:type="spellEnd"/>
            <w:r>
              <w:rPr>
                <w:rFonts w:ascii="Times New Roman" w:eastAsia="Times New Roman" w:hAnsi="Times New Roman" w:cs="Times New Roman"/>
                <w:sz w:val="8"/>
              </w:rPr>
              <w:t xml:space="preserve"> 7o A ANEEL estabelecerá as condições gerais do acesso aos sistemas de transmissão e de distribuição, compreendendo o uso e a conexão, e regulará as tarifas correspondentes, com vistas a:</w:t>
            </w:r>
          </w:p>
        </w:tc>
        <w:tc>
          <w:tcPr>
            <w:tcW w:w="0" w:type="auto"/>
            <w:vMerge/>
            <w:tcBorders>
              <w:top w:val="nil"/>
              <w:left w:val="single" w:sz="3" w:space="0" w:color="000000"/>
              <w:bottom w:val="nil"/>
              <w:right w:val="nil"/>
            </w:tcBorders>
          </w:tcPr>
          <w:p w14:paraId="75E91C4C" w14:textId="77777777" w:rsidR="007E13DE" w:rsidRDefault="007E13DE"/>
        </w:tc>
        <w:tc>
          <w:tcPr>
            <w:tcW w:w="0" w:type="auto"/>
            <w:vMerge/>
            <w:tcBorders>
              <w:top w:val="nil"/>
              <w:left w:val="nil"/>
              <w:bottom w:val="nil"/>
              <w:right w:val="nil"/>
            </w:tcBorders>
          </w:tcPr>
          <w:p w14:paraId="0AEF8E9E" w14:textId="77777777" w:rsidR="007E13DE" w:rsidRDefault="007E13DE"/>
        </w:tc>
      </w:tr>
      <w:tr w:rsidR="007E13DE" w14:paraId="7A5D816E"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40E548CF" w14:textId="77777777" w:rsidR="007E13DE" w:rsidRDefault="00000000">
            <w:pPr>
              <w:spacing w:after="0"/>
              <w:ind w:left="859"/>
            </w:pPr>
            <w:r>
              <w:rPr>
                <w:rFonts w:ascii="Times New Roman" w:eastAsia="Times New Roman" w:hAnsi="Times New Roman" w:cs="Times New Roman"/>
                <w:sz w:val="8"/>
              </w:rPr>
              <w:t xml:space="preserve">I - </w:t>
            </w:r>
            <w:proofErr w:type="gramStart"/>
            <w:r>
              <w:rPr>
                <w:rFonts w:ascii="Times New Roman" w:eastAsia="Times New Roman" w:hAnsi="Times New Roman" w:cs="Times New Roman"/>
                <w:sz w:val="8"/>
              </w:rPr>
              <w:t>assegurar</w:t>
            </w:r>
            <w:proofErr w:type="gramEnd"/>
            <w:r>
              <w:rPr>
                <w:rFonts w:ascii="Times New Roman" w:eastAsia="Times New Roman" w:hAnsi="Times New Roman" w:cs="Times New Roman"/>
                <w:sz w:val="8"/>
              </w:rPr>
              <w:t xml:space="preserve"> tratamento não discriminatório a todos os usuários dos sistemas de transmissão e de distribuição, ressalvado o disposto no § 1o do art. 26 da Lei nº 9.427, de 1996, com a redação dada pelo art. 4o da Lei no 9.648, de 1998;</w:t>
            </w:r>
          </w:p>
        </w:tc>
        <w:tc>
          <w:tcPr>
            <w:tcW w:w="0" w:type="auto"/>
            <w:vMerge/>
            <w:tcBorders>
              <w:top w:val="nil"/>
              <w:left w:val="single" w:sz="3" w:space="0" w:color="000000"/>
              <w:bottom w:val="nil"/>
              <w:right w:val="nil"/>
            </w:tcBorders>
          </w:tcPr>
          <w:p w14:paraId="3726F14F" w14:textId="77777777" w:rsidR="007E13DE" w:rsidRDefault="007E13DE"/>
        </w:tc>
        <w:tc>
          <w:tcPr>
            <w:tcW w:w="0" w:type="auto"/>
            <w:vMerge/>
            <w:tcBorders>
              <w:top w:val="nil"/>
              <w:left w:val="nil"/>
              <w:bottom w:val="nil"/>
              <w:right w:val="nil"/>
            </w:tcBorders>
          </w:tcPr>
          <w:p w14:paraId="6C0441CF" w14:textId="77777777" w:rsidR="007E13DE" w:rsidRDefault="007E13DE"/>
        </w:tc>
      </w:tr>
      <w:tr w:rsidR="007E13DE" w14:paraId="68A0C564"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03B5411" w14:textId="77777777" w:rsidR="007E13DE" w:rsidRDefault="00000000">
            <w:pPr>
              <w:spacing w:after="0"/>
              <w:ind w:left="859"/>
            </w:pPr>
            <w:r>
              <w:rPr>
                <w:rFonts w:ascii="Times New Roman" w:eastAsia="Times New Roman" w:hAnsi="Times New Roman" w:cs="Times New Roman"/>
                <w:sz w:val="8"/>
              </w:rPr>
              <w:t xml:space="preserve">II - </w:t>
            </w:r>
            <w:proofErr w:type="gramStart"/>
            <w:r>
              <w:rPr>
                <w:rFonts w:ascii="Times New Roman" w:eastAsia="Times New Roman" w:hAnsi="Times New Roman" w:cs="Times New Roman"/>
                <w:sz w:val="8"/>
              </w:rPr>
              <w:t>assegurar</w:t>
            </w:r>
            <w:proofErr w:type="gramEnd"/>
            <w:r>
              <w:rPr>
                <w:rFonts w:ascii="Times New Roman" w:eastAsia="Times New Roman" w:hAnsi="Times New Roman" w:cs="Times New Roman"/>
                <w:sz w:val="8"/>
              </w:rPr>
              <w:t xml:space="preserve"> a cobertura de custos compatíveis com custos-padrão;</w:t>
            </w:r>
          </w:p>
        </w:tc>
        <w:tc>
          <w:tcPr>
            <w:tcW w:w="0" w:type="auto"/>
            <w:vMerge/>
            <w:tcBorders>
              <w:top w:val="nil"/>
              <w:left w:val="single" w:sz="3" w:space="0" w:color="000000"/>
              <w:bottom w:val="nil"/>
              <w:right w:val="nil"/>
            </w:tcBorders>
          </w:tcPr>
          <w:p w14:paraId="2F14FACD" w14:textId="77777777" w:rsidR="007E13DE" w:rsidRDefault="007E13DE"/>
        </w:tc>
        <w:tc>
          <w:tcPr>
            <w:tcW w:w="0" w:type="auto"/>
            <w:vMerge/>
            <w:tcBorders>
              <w:top w:val="nil"/>
              <w:left w:val="nil"/>
              <w:bottom w:val="nil"/>
              <w:right w:val="nil"/>
            </w:tcBorders>
          </w:tcPr>
          <w:p w14:paraId="52E6503B" w14:textId="77777777" w:rsidR="007E13DE" w:rsidRDefault="007E13DE"/>
        </w:tc>
      </w:tr>
      <w:tr w:rsidR="007E13DE" w14:paraId="01A38838"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AC184FC" w14:textId="77777777" w:rsidR="007E13DE" w:rsidRDefault="00000000">
            <w:pPr>
              <w:spacing w:after="0"/>
              <w:ind w:left="859"/>
            </w:pPr>
            <w:r>
              <w:rPr>
                <w:rFonts w:ascii="Times New Roman" w:eastAsia="Times New Roman" w:hAnsi="Times New Roman" w:cs="Times New Roman"/>
                <w:sz w:val="8"/>
              </w:rPr>
              <w:t>III - estimular novos investimentos na expansão dos sistemas;</w:t>
            </w:r>
          </w:p>
        </w:tc>
        <w:tc>
          <w:tcPr>
            <w:tcW w:w="0" w:type="auto"/>
            <w:vMerge/>
            <w:tcBorders>
              <w:top w:val="nil"/>
              <w:left w:val="single" w:sz="3" w:space="0" w:color="000000"/>
              <w:bottom w:val="nil"/>
              <w:right w:val="nil"/>
            </w:tcBorders>
          </w:tcPr>
          <w:p w14:paraId="6D17BAD2" w14:textId="77777777" w:rsidR="007E13DE" w:rsidRDefault="007E13DE"/>
        </w:tc>
        <w:tc>
          <w:tcPr>
            <w:tcW w:w="0" w:type="auto"/>
            <w:vMerge/>
            <w:tcBorders>
              <w:top w:val="nil"/>
              <w:left w:val="nil"/>
              <w:bottom w:val="nil"/>
              <w:right w:val="nil"/>
            </w:tcBorders>
          </w:tcPr>
          <w:p w14:paraId="4266ED1F" w14:textId="77777777" w:rsidR="007E13DE" w:rsidRDefault="007E13DE"/>
        </w:tc>
      </w:tr>
      <w:tr w:rsidR="007E13DE" w14:paraId="4DE123A7"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9AD8A88" w14:textId="77777777" w:rsidR="007E13DE" w:rsidRDefault="00000000">
            <w:pPr>
              <w:spacing w:after="0"/>
              <w:ind w:left="859"/>
            </w:pPr>
            <w:r>
              <w:rPr>
                <w:rFonts w:ascii="Times New Roman" w:eastAsia="Times New Roman" w:hAnsi="Times New Roman" w:cs="Times New Roman"/>
                <w:sz w:val="8"/>
              </w:rPr>
              <w:t xml:space="preserve">IV - </w:t>
            </w:r>
            <w:proofErr w:type="gramStart"/>
            <w:r>
              <w:rPr>
                <w:rFonts w:ascii="Times New Roman" w:eastAsia="Times New Roman" w:hAnsi="Times New Roman" w:cs="Times New Roman"/>
                <w:sz w:val="8"/>
              </w:rPr>
              <w:t>induzir</w:t>
            </w:r>
            <w:proofErr w:type="gramEnd"/>
            <w:r>
              <w:rPr>
                <w:rFonts w:ascii="Times New Roman" w:eastAsia="Times New Roman" w:hAnsi="Times New Roman" w:cs="Times New Roman"/>
                <w:sz w:val="8"/>
              </w:rPr>
              <w:t xml:space="preserve"> a utilização racional dos sistemas;</w:t>
            </w:r>
          </w:p>
        </w:tc>
        <w:tc>
          <w:tcPr>
            <w:tcW w:w="0" w:type="auto"/>
            <w:vMerge/>
            <w:tcBorders>
              <w:top w:val="nil"/>
              <w:left w:val="single" w:sz="3" w:space="0" w:color="000000"/>
              <w:bottom w:val="nil"/>
              <w:right w:val="nil"/>
            </w:tcBorders>
          </w:tcPr>
          <w:p w14:paraId="11A87A79" w14:textId="77777777" w:rsidR="007E13DE" w:rsidRDefault="007E13DE"/>
        </w:tc>
        <w:tc>
          <w:tcPr>
            <w:tcW w:w="0" w:type="auto"/>
            <w:vMerge/>
            <w:tcBorders>
              <w:top w:val="nil"/>
              <w:left w:val="nil"/>
              <w:bottom w:val="nil"/>
              <w:right w:val="nil"/>
            </w:tcBorders>
          </w:tcPr>
          <w:p w14:paraId="076F24BD" w14:textId="77777777" w:rsidR="007E13DE" w:rsidRDefault="007E13DE"/>
        </w:tc>
      </w:tr>
      <w:tr w:rsidR="007E13DE" w14:paraId="2E499223"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512191F6" w14:textId="77777777" w:rsidR="007E13DE" w:rsidRDefault="00000000">
            <w:pPr>
              <w:spacing w:after="0"/>
              <w:ind w:left="859"/>
            </w:pPr>
            <w:r>
              <w:rPr>
                <w:rFonts w:ascii="Times New Roman" w:eastAsia="Times New Roman" w:hAnsi="Times New Roman" w:cs="Times New Roman"/>
                <w:sz w:val="8"/>
              </w:rPr>
              <w:t xml:space="preserve">V- </w:t>
            </w:r>
            <w:proofErr w:type="gramStart"/>
            <w:r>
              <w:rPr>
                <w:rFonts w:ascii="Times New Roman" w:eastAsia="Times New Roman" w:hAnsi="Times New Roman" w:cs="Times New Roman"/>
                <w:sz w:val="8"/>
              </w:rPr>
              <w:t>minimizar</w:t>
            </w:r>
            <w:proofErr w:type="gramEnd"/>
            <w:r>
              <w:rPr>
                <w:rFonts w:ascii="Times New Roman" w:eastAsia="Times New Roman" w:hAnsi="Times New Roman" w:cs="Times New Roman"/>
                <w:sz w:val="8"/>
              </w:rPr>
              <w:t xml:space="preserve"> os custos de ampliação ou utilização dos sistemas elétricos.”</w:t>
            </w:r>
          </w:p>
        </w:tc>
        <w:tc>
          <w:tcPr>
            <w:tcW w:w="0" w:type="auto"/>
            <w:vMerge/>
            <w:tcBorders>
              <w:top w:val="nil"/>
              <w:left w:val="single" w:sz="3" w:space="0" w:color="000000"/>
              <w:bottom w:val="nil"/>
              <w:right w:val="nil"/>
            </w:tcBorders>
          </w:tcPr>
          <w:p w14:paraId="0FE97179" w14:textId="77777777" w:rsidR="007E13DE" w:rsidRDefault="007E13DE"/>
        </w:tc>
        <w:tc>
          <w:tcPr>
            <w:tcW w:w="0" w:type="auto"/>
            <w:vMerge/>
            <w:tcBorders>
              <w:top w:val="nil"/>
              <w:left w:val="nil"/>
              <w:bottom w:val="nil"/>
              <w:right w:val="nil"/>
            </w:tcBorders>
          </w:tcPr>
          <w:p w14:paraId="09B2E00A" w14:textId="77777777" w:rsidR="007E13DE" w:rsidRDefault="007E13DE"/>
        </w:tc>
      </w:tr>
      <w:tr w:rsidR="007E13DE" w14:paraId="3FEABCC3"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7780C86" w14:textId="77777777" w:rsidR="007E13DE" w:rsidRDefault="00000000">
            <w:pPr>
              <w:spacing w:after="0"/>
              <w:ind w:left="5"/>
            </w:pPr>
            <w:r>
              <w:rPr>
                <w:rFonts w:ascii="Times New Roman" w:eastAsia="Times New Roman" w:hAnsi="Times New Roman" w:cs="Times New Roman"/>
                <w:sz w:val="11"/>
              </w:rPr>
              <w:lastRenderedPageBreak/>
              <w:t>III.9 – Do prazo da Consulta Pública</w:t>
            </w:r>
          </w:p>
        </w:tc>
        <w:tc>
          <w:tcPr>
            <w:tcW w:w="0" w:type="auto"/>
            <w:vMerge/>
            <w:tcBorders>
              <w:top w:val="nil"/>
              <w:left w:val="single" w:sz="3" w:space="0" w:color="000000"/>
              <w:bottom w:val="nil"/>
              <w:right w:val="nil"/>
            </w:tcBorders>
          </w:tcPr>
          <w:p w14:paraId="33855948" w14:textId="77777777" w:rsidR="007E13DE" w:rsidRDefault="007E13DE"/>
        </w:tc>
        <w:tc>
          <w:tcPr>
            <w:tcW w:w="0" w:type="auto"/>
            <w:vMerge/>
            <w:tcBorders>
              <w:top w:val="nil"/>
              <w:left w:val="nil"/>
              <w:bottom w:val="nil"/>
              <w:right w:val="nil"/>
            </w:tcBorders>
          </w:tcPr>
          <w:p w14:paraId="1DBEE883" w14:textId="77777777" w:rsidR="007E13DE" w:rsidRDefault="007E13DE"/>
        </w:tc>
      </w:tr>
      <w:tr w:rsidR="007E13DE" w14:paraId="6A743DBC"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B585025" w14:textId="77777777" w:rsidR="007E13DE" w:rsidRDefault="00000000">
            <w:pPr>
              <w:spacing w:after="0"/>
              <w:ind w:left="2" w:right="7"/>
            </w:pPr>
            <w:r>
              <w:rPr>
                <w:rFonts w:ascii="Times New Roman" w:eastAsia="Times New Roman" w:hAnsi="Times New Roman" w:cs="Times New Roman"/>
                <w:sz w:val="8"/>
              </w:rPr>
              <w:t>114. Com relação ao prazo da consulta pública, propomos um prazo de 45 (quarenta e cinco) dias, pois este se trata do prazo mínimo exigido pelo Art. 9o, § 2o da Lei nº 13.848, de 25 de junho de 2019, que dispõe sobre a gestão, a organização e o processo decisório e o controle social das agências reguladoras.</w:t>
            </w:r>
          </w:p>
        </w:tc>
        <w:tc>
          <w:tcPr>
            <w:tcW w:w="0" w:type="auto"/>
            <w:vMerge/>
            <w:tcBorders>
              <w:top w:val="nil"/>
              <w:left w:val="single" w:sz="3" w:space="0" w:color="000000"/>
              <w:bottom w:val="nil"/>
              <w:right w:val="nil"/>
            </w:tcBorders>
          </w:tcPr>
          <w:p w14:paraId="760763F8" w14:textId="77777777" w:rsidR="007E13DE" w:rsidRDefault="007E13DE"/>
        </w:tc>
        <w:tc>
          <w:tcPr>
            <w:tcW w:w="0" w:type="auto"/>
            <w:vMerge/>
            <w:tcBorders>
              <w:top w:val="nil"/>
              <w:left w:val="nil"/>
              <w:bottom w:val="nil"/>
              <w:right w:val="nil"/>
            </w:tcBorders>
          </w:tcPr>
          <w:p w14:paraId="14931AB5" w14:textId="77777777" w:rsidR="007E13DE" w:rsidRDefault="007E13DE"/>
        </w:tc>
      </w:tr>
      <w:tr w:rsidR="007E13DE" w14:paraId="07276FF8"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0871470B" w14:textId="77777777" w:rsidR="007E13DE" w:rsidRDefault="00000000">
            <w:pPr>
              <w:spacing w:after="0"/>
              <w:ind w:left="5"/>
            </w:pPr>
            <w:r>
              <w:rPr>
                <w:rFonts w:ascii="Times New Roman" w:eastAsia="Times New Roman" w:hAnsi="Times New Roman" w:cs="Times New Roman"/>
                <w:sz w:val="11"/>
              </w:rPr>
              <w:t>IV - DO FUNDAMENTO LEGAL</w:t>
            </w:r>
          </w:p>
        </w:tc>
        <w:tc>
          <w:tcPr>
            <w:tcW w:w="0" w:type="auto"/>
            <w:vMerge/>
            <w:tcBorders>
              <w:top w:val="nil"/>
              <w:left w:val="single" w:sz="3" w:space="0" w:color="000000"/>
              <w:bottom w:val="nil"/>
              <w:right w:val="nil"/>
            </w:tcBorders>
          </w:tcPr>
          <w:p w14:paraId="7CBF1A21" w14:textId="77777777" w:rsidR="007E13DE" w:rsidRDefault="007E13DE"/>
        </w:tc>
        <w:tc>
          <w:tcPr>
            <w:tcW w:w="0" w:type="auto"/>
            <w:vMerge/>
            <w:tcBorders>
              <w:top w:val="nil"/>
              <w:left w:val="nil"/>
              <w:bottom w:val="nil"/>
              <w:right w:val="nil"/>
            </w:tcBorders>
          </w:tcPr>
          <w:p w14:paraId="4A5A597A" w14:textId="77777777" w:rsidR="007E13DE" w:rsidRDefault="007E13DE"/>
        </w:tc>
      </w:tr>
      <w:tr w:rsidR="007E13DE" w14:paraId="1D91C227" w14:textId="77777777">
        <w:trPr>
          <w:trHeight w:val="869"/>
        </w:trPr>
        <w:tc>
          <w:tcPr>
            <w:tcW w:w="5162" w:type="dxa"/>
            <w:tcBorders>
              <w:top w:val="single" w:sz="3" w:space="0" w:color="000000"/>
              <w:left w:val="single" w:sz="3" w:space="0" w:color="000000"/>
              <w:bottom w:val="single" w:sz="3" w:space="0" w:color="000000"/>
              <w:right w:val="single" w:sz="3" w:space="0" w:color="000000"/>
            </w:tcBorders>
          </w:tcPr>
          <w:p w14:paraId="0EFF3DFC" w14:textId="77777777" w:rsidR="007E13DE" w:rsidRDefault="00000000">
            <w:pPr>
              <w:spacing w:after="11"/>
              <w:ind w:left="2"/>
            </w:pPr>
            <w:r>
              <w:rPr>
                <w:rFonts w:ascii="Times New Roman" w:eastAsia="Times New Roman" w:hAnsi="Times New Roman" w:cs="Times New Roman"/>
                <w:sz w:val="8"/>
              </w:rPr>
              <w:t xml:space="preserve">115. Esta Nota Técnica está fundamentada na Lei nº 9.427, de 26 de dezembro de 1996, na Lei nº 9.648, de 27 de maio de 1998, no Decreto nº </w:t>
            </w:r>
          </w:p>
          <w:p w14:paraId="70F9AB8F" w14:textId="77777777" w:rsidR="007E13DE" w:rsidRDefault="00000000">
            <w:pPr>
              <w:spacing w:after="11"/>
              <w:ind w:left="2"/>
            </w:pPr>
            <w:r>
              <w:rPr>
                <w:rFonts w:ascii="Times New Roman" w:eastAsia="Times New Roman" w:hAnsi="Times New Roman" w:cs="Times New Roman"/>
                <w:sz w:val="8"/>
              </w:rPr>
              <w:t xml:space="preserve">2.655, de 2 de julho de 1998, nº Decreto nº 5.597, de 28 de dezembro de 2005, na Portaria MME nº 311, de 13 de setembro de 2013, na Portaria </w:t>
            </w:r>
          </w:p>
          <w:p w14:paraId="353783F0" w14:textId="77777777" w:rsidR="007E13DE" w:rsidRDefault="00000000">
            <w:pPr>
              <w:spacing w:after="11"/>
              <w:ind w:left="2"/>
            </w:pPr>
            <w:r>
              <w:rPr>
                <w:rFonts w:ascii="Times New Roman" w:eastAsia="Times New Roman" w:hAnsi="Times New Roman" w:cs="Times New Roman"/>
                <w:sz w:val="8"/>
              </w:rPr>
              <w:t xml:space="preserve">MME nº 24, de 16 de janeiro de 2014, na Lei nº 13.848, de 25 de junho de 2019, na Lei nº 13.874, de 20 de setembro de 2019, no Decreto nº </w:t>
            </w:r>
          </w:p>
          <w:p w14:paraId="2DCD52C0" w14:textId="77777777" w:rsidR="007E13DE" w:rsidRDefault="00000000">
            <w:pPr>
              <w:spacing w:after="0"/>
              <w:ind w:left="2"/>
            </w:pPr>
            <w:r>
              <w:rPr>
                <w:rFonts w:ascii="Times New Roman" w:eastAsia="Times New Roman" w:hAnsi="Times New Roman" w:cs="Times New Roman"/>
                <w:sz w:val="8"/>
              </w:rPr>
              <w:t>10.411, de 30 de junho de 2020, na Norma de Organização da ANEEL nº 40, de 12 de março de 2013, aprovada pela Resolução Normativa nº 941, de 6 de julho de 2021, no Módulo 5 das Regras dos Serviços de Transmissão de Energia Elétrica, aprovado pela Resolução Normativa nº 905, de 8 de dezembro de 2020, no Despacho nº 1.133, de 25 de abril de 2023, na Resolução Normativa nº 1.069, de 29 de agosto de 2023, no Despacho nº 3.245, de 1o de setembro de 2023, no Despacho nº 1.788, de 14 de junho de 2024, e na Resolução Homologatória nº 3.217, de 4 de julho de 2023.</w:t>
            </w:r>
          </w:p>
        </w:tc>
        <w:tc>
          <w:tcPr>
            <w:tcW w:w="0" w:type="auto"/>
            <w:vMerge/>
            <w:tcBorders>
              <w:top w:val="nil"/>
              <w:left w:val="single" w:sz="3" w:space="0" w:color="000000"/>
              <w:bottom w:val="nil"/>
              <w:right w:val="nil"/>
            </w:tcBorders>
          </w:tcPr>
          <w:p w14:paraId="38EC4AF2" w14:textId="77777777" w:rsidR="007E13DE" w:rsidRDefault="007E13DE"/>
        </w:tc>
        <w:tc>
          <w:tcPr>
            <w:tcW w:w="0" w:type="auto"/>
            <w:vMerge/>
            <w:tcBorders>
              <w:top w:val="nil"/>
              <w:left w:val="nil"/>
              <w:bottom w:val="nil"/>
              <w:right w:val="nil"/>
            </w:tcBorders>
          </w:tcPr>
          <w:p w14:paraId="5C03EC6C" w14:textId="77777777" w:rsidR="007E13DE" w:rsidRDefault="007E13DE"/>
        </w:tc>
      </w:tr>
      <w:tr w:rsidR="007E13DE" w14:paraId="5C05C88F"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7BD2209D" w14:textId="77777777" w:rsidR="007E13DE" w:rsidRDefault="00000000">
            <w:pPr>
              <w:spacing w:after="0"/>
              <w:ind w:left="5"/>
            </w:pPr>
            <w:r>
              <w:rPr>
                <w:rFonts w:ascii="Times New Roman" w:eastAsia="Times New Roman" w:hAnsi="Times New Roman" w:cs="Times New Roman"/>
                <w:sz w:val="11"/>
              </w:rPr>
              <w:t>V - DA CONCLUSÃO</w:t>
            </w:r>
          </w:p>
        </w:tc>
        <w:tc>
          <w:tcPr>
            <w:tcW w:w="0" w:type="auto"/>
            <w:vMerge/>
            <w:tcBorders>
              <w:top w:val="nil"/>
              <w:left w:val="single" w:sz="3" w:space="0" w:color="000000"/>
              <w:bottom w:val="nil"/>
              <w:right w:val="nil"/>
            </w:tcBorders>
          </w:tcPr>
          <w:p w14:paraId="473A2E0E" w14:textId="77777777" w:rsidR="007E13DE" w:rsidRDefault="007E13DE"/>
        </w:tc>
        <w:tc>
          <w:tcPr>
            <w:tcW w:w="0" w:type="auto"/>
            <w:vMerge/>
            <w:tcBorders>
              <w:top w:val="nil"/>
              <w:left w:val="nil"/>
              <w:bottom w:val="nil"/>
              <w:right w:val="nil"/>
            </w:tcBorders>
          </w:tcPr>
          <w:p w14:paraId="1E05B537" w14:textId="77777777" w:rsidR="007E13DE" w:rsidRDefault="007E13DE"/>
        </w:tc>
      </w:tr>
      <w:tr w:rsidR="007E13DE" w14:paraId="30404113"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4EBFE06" w14:textId="77777777" w:rsidR="007E13DE" w:rsidRDefault="00000000">
            <w:pPr>
              <w:spacing w:after="0"/>
              <w:ind w:left="2"/>
            </w:pPr>
            <w:r>
              <w:rPr>
                <w:rFonts w:ascii="Times New Roman" w:eastAsia="Times New Roman" w:hAnsi="Times New Roman" w:cs="Times New Roman"/>
                <w:sz w:val="8"/>
              </w:rPr>
              <w:t>116. Conclui-se que o tema em discussão se enquadra nos critérios de dispensa de AIR, sendo necessária a abertura de Consulta Pública nos moldes apresentados nesta Nota Técnica, para coleta de contribuições acerca do texto normativo proposto.</w:t>
            </w:r>
          </w:p>
        </w:tc>
        <w:tc>
          <w:tcPr>
            <w:tcW w:w="0" w:type="auto"/>
            <w:vMerge/>
            <w:tcBorders>
              <w:top w:val="nil"/>
              <w:left w:val="single" w:sz="3" w:space="0" w:color="000000"/>
              <w:bottom w:val="nil"/>
              <w:right w:val="nil"/>
            </w:tcBorders>
          </w:tcPr>
          <w:p w14:paraId="4C7D117B" w14:textId="77777777" w:rsidR="007E13DE" w:rsidRDefault="007E13DE"/>
        </w:tc>
        <w:tc>
          <w:tcPr>
            <w:tcW w:w="0" w:type="auto"/>
            <w:vMerge/>
            <w:tcBorders>
              <w:top w:val="nil"/>
              <w:left w:val="nil"/>
              <w:bottom w:val="nil"/>
              <w:right w:val="nil"/>
            </w:tcBorders>
          </w:tcPr>
          <w:p w14:paraId="75148BB3" w14:textId="77777777" w:rsidR="007E13DE" w:rsidRDefault="007E13DE"/>
        </w:tc>
      </w:tr>
      <w:tr w:rsidR="007E13DE" w14:paraId="6B8526C5"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2C0D30DF" w14:textId="77777777" w:rsidR="007E13DE" w:rsidRDefault="00000000">
            <w:pPr>
              <w:spacing w:after="0"/>
              <w:ind w:left="5"/>
            </w:pPr>
            <w:r>
              <w:rPr>
                <w:rFonts w:ascii="Times New Roman" w:eastAsia="Times New Roman" w:hAnsi="Times New Roman" w:cs="Times New Roman"/>
                <w:sz w:val="11"/>
              </w:rPr>
              <w:t>VI - DA RECOMENDAÇÃO</w:t>
            </w:r>
          </w:p>
        </w:tc>
        <w:tc>
          <w:tcPr>
            <w:tcW w:w="0" w:type="auto"/>
            <w:vMerge/>
            <w:tcBorders>
              <w:top w:val="nil"/>
              <w:left w:val="single" w:sz="3" w:space="0" w:color="000000"/>
              <w:bottom w:val="nil"/>
              <w:right w:val="nil"/>
            </w:tcBorders>
          </w:tcPr>
          <w:p w14:paraId="1118B2FB" w14:textId="77777777" w:rsidR="007E13DE" w:rsidRDefault="007E13DE"/>
        </w:tc>
        <w:tc>
          <w:tcPr>
            <w:tcW w:w="0" w:type="auto"/>
            <w:vMerge/>
            <w:tcBorders>
              <w:top w:val="nil"/>
              <w:left w:val="nil"/>
              <w:bottom w:val="nil"/>
              <w:right w:val="nil"/>
            </w:tcBorders>
          </w:tcPr>
          <w:p w14:paraId="7B970419" w14:textId="77777777" w:rsidR="007E13DE" w:rsidRDefault="007E13DE"/>
        </w:tc>
      </w:tr>
      <w:tr w:rsidR="007E13DE" w14:paraId="00B25770"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E2D3EC9" w14:textId="77777777" w:rsidR="007E13DE" w:rsidRDefault="00000000">
            <w:pPr>
              <w:spacing w:after="0"/>
              <w:ind w:left="2"/>
            </w:pPr>
            <w:r>
              <w:rPr>
                <w:rFonts w:ascii="Times New Roman" w:eastAsia="Times New Roman" w:hAnsi="Times New Roman" w:cs="Times New Roman"/>
                <w:sz w:val="8"/>
              </w:rPr>
              <w:t>117. Recomenda-se o envio do Processo para sorteio de Diretor Relator com o objetivo de abrir Consulta Pública, com período de contribuições de 45 (quarenta e cinco) dias, com a finalidade de obter subsídios para avaliar a necessidade de intervenção regulatória que trate das requisições de acesso à Rede Básica por unidades consumidoras.</w:t>
            </w:r>
          </w:p>
        </w:tc>
        <w:tc>
          <w:tcPr>
            <w:tcW w:w="0" w:type="auto"/>
            <w:vMerge/>
            <w:tcBorders>
              <w:top w:val="nil"/>
              <w:left w:val="single" w:sz="3" w:space="0" w:color="000000"/>
              <w:bottom w:val="nil"/>
              <w:right w:val="nil"/>
            </w:tcBorders>
          </w:tcPr>
          <w:p w14:paraId="58CEA286" w14:textId="77777777" w:rsidR="007E13DE" w:rsidRDefault="007E13DE"/>
        </w:tc>
        <w:tc>
          <w:tcPr>
            <w:tcW w:w="0" w:type="auto"/>
            <w:vMerge/>
            <w:tcBorders>
              <w:top w:val="nil"/>
              <w:left w:val="nil"/>
              <w:bottom w:val="nil"/>
              <w:right w:val="nil"/>
            </w:tcBorders>
          </w:tcPr>
          <w:p w14:paraId="0A3DD21D" w14:textId="77777777" w:rsidR="007E13DE" w:rsidRDefault="007E13DE"/>
        </w:tc>
      </w:tr>
      <w:tr w:rsidR="007E13DE" w14:paraId="7C0F845E"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54D1204E" w14:textId="77777777" w:rsidR="007E13DE" w:rsidRDefault="00000000">
            <w:pPr>
              <w:spacing w:after="0"/>
              <w:ind w:left="2"/>
            </w:pPr>
            <w:r>
              <w:rPr>
                <w:rFonts w:ascii="Times New Roman" w:eastAsia="Times New Roman" w:hAnsi="Times New Roman" w:cs="Times New Roman"/>
                <w:sz w:val="8"/>
              </w:rPr>
              <w:t>FERNANDO MARINHO DE MAGALHÃES JÚNIOR Especialista em Regulação de Serviços Públicos de Energia</w:t>
            </w:r>
          </w:p>
        </w:tc>
        <w:tc>
          <w:tcPr>
            <w:tcW w:w="0" w:type="auto"/>
            <w:vMerge/>
            <w:tcBorders>
              <w:top w:val="nil"/>
              <w:left w:val="single" w:sz="3" w:space="0" w:color="000000"/>
              <w:bottom w:val="nil"/>
              <w:right w:val="nil"/>
            </w:tcBorders>
          </w:tcPr>
          <w:p w14:paraId="75D12826" w14:textId="77777777" w:rsidR="007E13DE" w:rsidRDefault="007E13DE"/>
        </w:tc>
        <w:tc>
          <w:tcPr>
            <w:tcW w:w="0" w:type="auto"/>
            <w:vMerge/>
            <w:tcBorders>
              <w:top w:val="nil"/>
              <w:left w:val="nil"/>
              <w:bottom w:val="nil"/>
              <w:right w:val="nil"/>
            </w:tcBorders>
          </w:tcPr>
          <w:p w14:paraId="73FE40F9" w14:textId="77777777" w:rsidR="007E13DE" w:rsidRDefault="007E13DE"/>
        </w:tc>
      </w:tr>
      <w:tr w:rsidR="007E13DE" w14:paraId="2069091F"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A560A59" w14:textId="77777777" w:rsidR="007E13DE" w:rsidRDefault="00000000">
            <w:pPr>
              <w:spacing w:after="0"/>
              <w:ind w:left="2"/>
            </w:pPr>
            <w:r>
              <w:rPr>
                <w:rFonts w:ascii="Times New Roman" w:eastAsia="Times New Roman" w:hAnsi="Times New Roman" w:cs="Times New Roman"/>
                <w:sz w:val="8"/>
              </w:rPr>
              <w:t>MARCUS VINICIUS DE LELES FRAZÃO Especialista em Regulação de Serviços Públicos de Energia</w:t>
            </w:r>
          </w:p>
        </w:tc>
        <w:tc>
          <w:tcPr>
            <w:tcW w:w="0" w:type="auto"/>
            <w:vMerge/>
            <w:tcBorders>
              <w:top w:val="nil"/>
              <w:left w:val="single" w:sz="3" w:space="0" w:color="000000"/>
              <w:bottom w:val="nil"/>
              <w:right w:val="nil"/>
            </w:tcBorders>
          </w:tcPr>
          <w:p w14:paraId="51D7F071" w14:textId="77777777" w:rsidR="007E13DE" w:rsidRDefault="007E13DE"/>
        </w:tc>
        <w:tc>
          <w:tcPr>
            <w:tcW w:w="0" w:type="auto"/>
            <w:vMerge/>
            <w:tcBorders>
              <w:top w:val="nil"/>
              <w:left w:val="nil"/>
              <w:bottom w:val="nil"/>
              <w:right w:val="nil"/>
            </w:tcBorders>
          </w:tcPr>
          <w:p w14:paraId="642FFF7B" w14:textId="77777777" w:rsidR="007E13DE" w:rsidRDefault="007E13DE"/>
        </w:tc>
      </w:tr>
      <w:tr w:rsidR="007E13DE" w14:paraId="4AABCFD9"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88FB244" w14:textId="77777777" w:rsidR="007E13DE" w:rsidRDefault="00000000">
            <w:pPr>
              <w:spacing w:after="0"/>
              <w:ind w:left="2"/>
            </w:pPr>
            <w:r>
              <w:rPr>
                <w:rFonts w:ascii="Times New Roman" w:eastAsia="Times New Roman" w:hAnsi="Times New Roman" w:cs="Times New Roman"/>
                <w:sz w:val="8"/>
              </w:rPr>
              <w:t>RAFAEL CAMBRAIA TRAJANO Coordenador de Acesso ao Sistema de Transmissão</w:t>
            </w:r>
          </w:p>
        </w:tc>
        <w:tc>
          <w:tcPr>
            <w:tcW w:w="0" w:type="auto"/>
            <w:vMerge/>
            <w:tcBorders>
              <w:top w:val="nil"/>
              <w:left w:val="single" w:sz="3" w:space="0" w:color="000000"/>
              <w:bottom w:val="nil"/>
              <w:right w:val="nil"/>
            </w:tcBorders>
          </w:tcPr>
          <w:p w14:paraId="3BB6C9E6" w14:textId="77777777" w:rsidR="007E13DE" w:rsidRDefault="007E13DE"/>
        </w:tc>
        <w:tc>
          <w:tcPr>
            <w:tcW w:w="0" w:type="auto"/>
            <w:vMerge/>
            <w:tcBorders>
              <w:top w:val="nil"/>
              <w:left w:val="nil"/>
              <w:bottom w:val="nil"/>
              <w:right w:val="nil"/>
            </w:tcBorders>
          </w:tcPr>
          <w:p w14:paraId="6E6C454F" w14:textId="77777777" w:rsidR="007E13DE" w:rsidRDefault="007E13DE"/>
        </w:tc>
      </w:tr>
      <w:tr w:rsidR="007E13DE" w14:paraId="10452640"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3C51A441" w14:textId="77777777" w:rsidR="007E13DE" w:rsidRDefault="00000000">
            <w:pPr>
              <w:spacing w:after="0"/>
              <w:ind w:left="2"/>
            </w:pPr>
            <w:r>
              <w:rPr>
                <w:rFonts w:ascii="Times New Roman" w:eastAsia="Times New Roman" w:hAnsi="Times New Roman" w:cs="Times New Roman"/>
                <w:sz w:val="8"/>
              </w:rPr>
              <w:t>RENATO ABDALLA AFONSO Gerente de Regulação do Serviço de Transmissão</w:t>
            </w:r>
          </w:p>
        </w:tc>
        <w:tc>
          <w:tcPr>
            <w:tcW w:w="0" w:type="auto"/>
            <w:vMerge/>
            <w:tcBorders>
              <w:top w:val="nil"/>
              <w:left w:val="single" w:sz="3" w:space="0" w:color="000000"/>
              <w:bottom w:val="nil"/>
              <w:right w:val="nil"/>
            </w:tcBorders>
          </w:tcPr>
          <w:p w14:paraId="23172516" w14:textId="77777777" w:rsidR="007E13DE" w:rsidRDefault="007E13DE"/>
        </w:tc>
        <w:tc>
          <w:tcPr>
            <w:tcW w:w="0" w:type="auto"/>
            <w:vMerge/>
            <w:tcBorders>
              <w:top w:val="nil"/>
              <w:left w:val="nil"/>
              <w:bottom w:val="nil"/>
              <w:right w:val="nil"/>
            </w:tcBorders>
          </w:tcPr>
          <w:p w14:paraId="49F67DCE" w14:textId="77777777" w:rsidR="007E13DE" w:rsidRDefault="007E13DE"/>
        </w:tc>
      </w:tr>
      <w:tr w:rsidR="007E13DE" w14:paraId="11C4B986"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7D913A1" w14:textId="77777777" w:rsidR="007E13DE" w:rsidRDefault="00000000">
            <w:pPr>
              <w:spacing w:after="0"/>
              <w:ind w:left="2"/>
            </w:pPr>
            <w:r>
              <w:rPr>
                <w:rFonts w:ascii="Times New Roman" w:eastAsia="Times New Roman" w:hAnsi="Times New Roman" w:cs="Times New Roman"/>
                <w:sz w:val="8"/>
              </w:rPr>
              <w:t>De acordo:</w:t>
            </w:r>
          </w:p>
        </w:tc>
        <w:tc>
          <w:tcPr>
            <w:tcW w:w="0" w:type="auto"/>
            <w:vMerge/>
            <w:tcBorders>
              <w:top w:val="nil"/>
              <w:left w:val="single" w:sz="3" w:space="0" w:color="000000"/>
              <w:bottom w:val="nil"/>
              <w:right w:val="nil"/>
            </w:tcBorders>
          </w:tcPr>
          <w:p w14:paraId="6DD2F209" w14:textId="77777777" w:rsidR="007E13DE" w:rsidRDefault="007E13DE"/>
        </w:tc>
        <w:tc>
          <w:tcPr>
            <w:tcW w:w="0" w:type="auto"/>
            <w:vMerge/>
            <w:tcBorders>
              <w:top w:val="nil"/>
              <w:left w:val="nil"/>
              <w:bottom w:val="nil"/>
              <w:right w:val="nil"/>
            </w:tcBorders>
          </w:tcPr>
          <w:p w14:paraId="509C2859" w14:textId="77777777" w:rsidR="007E13DE" w:rsidRDefault="007E13DE"/>
        </w:tc>
      </w:tr>
      <w:tr w:rsidR="007E13DE" w14:paraId="7AD78342"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430DFF54" w14:textId="77777777" w:rsidR="007E13DE" w:rsidRDefault="00000000">
            <w:pPr>
              <w:spacing w:after="0"/>
              <w:ind w:left="2"/>
            </w:pPr>
            <w:r>
              <w:rPr>
                <w:rFonts w:ascii="Times New Roman" w:eastAsia="Times New Roman" w:hAnsi="Times New Roman" w:cs="Times New Roman"/>
                <w:sz w:val="8"/>
              </w:rPr>
              <w:t xml:space="preserve">CARLOS ALBERTO CALIXTO MATTAR Superintendente de Regulação dos Serviços de Transmissão e Distribuição </w:t>
            </w:r>
          </w:p>
        </w:tc>
        <w:tc>
          <w:tcPr>
            <w:tcW w:w="0" w:type="auto"/>
            <w:vMerge/>
            <w:tcBorders>
              <w:top w:val="nil"/>
              <w:left w:val="single" w:sz="3" w:space="0" w:color="000000"/>
              <w:bottom w:val="nil"/>
              <w:right w:val="nil"/>
            </w:tcBorders>
          </w:tcPr>
          <w:p w14:paraId="0B091575" w14:textId="77777777" w:rsidR="007E13DE" w:rsidRDefault="007E13DE"/>
        </w:tc>
        <w:tc>
          <w:tcPr>
            <w:tcW w:w="0" w:type="auto"/>
            <w:vMerge/>
            <w:tcBorders>
              <w:top w:val="nil"/>
              <w:left w:val="nil"/>
              <w:bottom w:val="nil"/>
              <w:right w:val="nil"/>
            </w:tcBorders>
          </w:tcPr>
          <w:p w14:paraId="7688D81B" w14:textId="77777777" w:rsidR="007E13DE" w:rsidRDefault="007E13DE"/>
        </w:tc>
      </w:tr>
    </w:tbl>
    <w:p w14:paraId="38D37A21" w14:textId="77777777" w:rsidR="007E13DE" w:rsidRDefault="00000000">
      <w:pPr>
        <w:spacing w:after="0"/>
        <w:ind w:left="-672"/>
        <w:jc w:val="both"/>
      </w:pPr>
      <w:r>
        <w:rPr>
          <w:rFonts w:ascii="Times New Roman" w:eastAsia="Times New Roman" w:hAnsi="Times New Roman" w:cs="Times New Roman"/>
          <w:sz w:val="7"/>
        </w:rPr>
        <w:t xml:space="preserve"> </w:t>
      </w:r>
    </w:p>
    <w:tbl>
      <w:tblPr>
        <w:tblStyle w:val="TableGrid"/>
        <w:tblW w:w="10334" w:type="dxa"/>
        <w:tblInd w:w="-690" w:type="dxa"/>
        <w:tblCellMar>
          <w:top w:w="4" w:type="dxa"/>
          <w:left w:w="20" w:type="dxa"/>
          <w:bottom w:w="0" w:type="dxa"/>
          <w:right w:w="42" w:type="dxa"/>
        </w:tblCellMar>
        <w:tblLook w:val="04A0" w:firstRow="1" w:lastRow="0" w:firstColumn="1" w:lastColumn="0" w:noHBand="0" w:noVBand="1"/>
      </w:tblPr>
      <w:tblGrid>
        <w:gridCol w:w="5162"/>
        <w:gridCol w:w="1205"/>
        <w:gridCol w:w="3967"/>
      </w:tblGrid>
      <w:tr w:rsidR="007E13DE" w14:paraId="0ECBEA4B"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24012745" w14:textId="77777777" w:rsidR="007E13DE" w:rsidRDefault="00000000">
            <w:pPr>
              <w:spacing w:after="0"/>
            </w:pPr>
            <w:r>
              <w:rPr>
                <w:rFonts w:ascii="Times New Roman" w:eastAsia="Times New Roman" w:hAnsi="Times New Roman" w:cs="Times New Roman"/>
                <w:sz w:val="8"/>
              </w:rPr>
              <w:t>Agência Nacional de Energia Elétrica – ANEEL</w:t>
            </w:r>
          </w:p>
        </w:tc>
        <w:tc>
          <w:tcPr>
            <w:tcW w:w="1205" w:type="dxa"/>
            <w:vMerge w:val="restart"/>
            <w:tcBorders>
              <w:top w:val="nil"/>
              <w:left w:val="single" w:sz="3" w:space="0" w:color="000000"/>
              <w:bottom w:val="single" w:sz="3" w:space="0" w:color="000000"/>
              <w:right w:val="nil"/>
            </w:tcBorders>
          </w:tcPr>
          <w:p w14:paraId="5B4C4F64" w14:textId="77777777" w:rsidR="007E13DE" w:rsidRDefault="007E13DE"/>
        </w:tc>
        <w:tc>
          <w:tcPr>
            <w:tcW w:w="3967" w:type="dxa"/>
            <w:vMerge w:val="restart"/>
            <w:tcBorders>
              <w:top w:val="nil"/>
              <w:left w:val="nil"/>
              <w:bottom w:val="single" w:sz="3" w:space="0" w:color="000000"/>
              <w:right w:val="nil"/>
            </w:tcBorders>
          </w:tcPr>
          <w:p w14:paraId="198E9A8E" w14:textId="77777777" w:rsidR="007E13DE" w:rsidRDefault="007E13DE"/>
        </w:tc>
      </w:tr>
      <w:tr w:rsidR="007E13DE" w14:paraId="75F3281B"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3FE7F545" w14:textId="77777777" w:rsidR="007E13DE" w:rsidRDefault="00000000">
            <w:pPr>
              <w:spacing w:after="0"/>
              <w:ind w:left="2"/>
            </w:pPr>
            <w:r>
              <w:rPr>
                <w:rFonts w:ascii="Times New Roman" w:eastAsia="Times New Roman" w:hAnsi="Times New Roman" w:cs="Times New Roman"/>
                <w:sz w:val="11"/>
              </w:rPr>
              <w:t>Regras dos Serviços de Transmissão de Energia Elétrica</w:t>
            </w:r>
          </w:p>
        </w:tc>
        <w:tc>
          <w:tcPr>
            <w:tcW w:w="0" w:type="auto"/>
            <w:vMerge/>
            <w:tcBorders>
              <w:top w:val="nil"/>
              <w:left w:val="single" w:sz="3" w:space="0" w:color="000000"/>
              <w:bottom w:val="nil"/>
              <w:right w:val="nil"/>
            </w:tcBorders>
          </w:tcPr>
          <w:p w14:paraId="40B9307B" w14:textId="77777777" w:rsidR="007E13DE" w:rsidRDefault="007E13DE"/>
        </w:tc>
        <w:tc>
          <w:tcPr>
            <w:tcW w:w="0" w:type="auto"/>
            <w:vMerge/>
            <w:tcBorders>
              <w:top w:val="nil"/>
              <w:left w:val="nil"/>
              <w:bottom w:val="nil"/>
              <w:right w:val="nil"/>
            </w:tcBorders>
          </w:tcPr>
          <w:p w14:paraId="1B85C56A" w14:textId="77777777" w:rsidR="007E13DE" w:rsidRDefault="007E13DE"/>
        </w:tc>
      </w:tr>
      <w:tr w:rsidR="007E13DE" w14:paraId="0FB98EDC"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0C568148" w14:textId="77777777" w:rsidR="007E13DE" w:rsidRDefault="00000000">
            <w:pPr>
              <w:spacing w:after="0"/>
              <w:ind w:left="2"/>
            </w:pPr>
            <w:r>
              <w:rPr>
                <w:rFonts w:ascii="Times New Roman" w:eastAsia="Times New Roman" w:hAnsi="Times New Roman" w:cs="Times New Roman"/>
                <w:sz w:val="11"/>
              </w:rPr>
              <w:t>Módulo 5 – Acesso ao Sistema</w:t>
            </w:r>
          </w:p>
        </w:tc>
        <w:tc>
          <w:tcPr>
            <w:tcW w:w="0" w:type="auto"/>
            <w:vMerge/>
            <w:tcBorders>
              <w:top w:val="nil"/>
              <w:left w:val="single" w:sz="3" w:space="0" w:color="000000"/>
              <w:bottom w:val="nil"/>
              <w:right w:val="nil"/>
            </w:tcBorders>
          </w:tcPr>
          <w:p w14:paraId="6DAA692A" w14:textId="77777777" w:rsidR="007E13DE" w:rsidRDefault="007E13DE"/>
        </w:tc>
        <w:tc>
          <w:tcPr>
            <w:tcW w:w="0" w:type="auto"/>
            <w:vMerge/>
            <w:tcBorders>
              <w:top w:val="nil"/>
              <w:left w:val="nil"/>
              <w:bottom w:val="nil"/>
              <w:right w:val="nil"/>
            </w:tcBorders>
          </w:tcPr>
          <w:p w14:paraId="3D91716F" w14:textId="77777777" w:rsidR="007E13DE" w:rsidRDefault="007E13DE"/>
        </w:tc>
      </w:tr>
      <w:tr w:rsidR="007E13DE" w14:paraId="3EFD2008"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5CAA5819" w14:textId="77777777" w:rsidR="007E13DE" w:rsidRDefault="00000000">
            <w:pPr>
              <w:spacing w:after="0"/>
              <w:ind w:left="2"/>
            </w:pPr>
            <w:r>
              <w:rPr>
                <w:rFonts w:ascii="Times New Roman" w:eastAsia="Times New Roman" w:hAnsi="Times New Roman" w:cs="Times New Roman"/>
                <w:sz w:val="11"/>
              </w:rPr>
              <w:t xml:space="preserve">SEÇÃO 5.0 – INTRODUÇÃO   </w:t>
            </w:r>
          </w:p>
        </w:tc>
        <w:tc>
          <w:tcPr>
            <w:tcW w:w="0" w:type="auto"/>
            <w:vMerge/>
            <w:tcBorders>
              <w:top w:val="nil"/>
              <w:left w:val="single" w:sz="3" w:space="0" w:color="000000"/>
              <w:bottom w:val="nil"/>
              <w:right w:val="nil"/>
            </w:tcBorders>
          </w:tcPr>
          <w:p w14:paraId="0E02B08B" w14:textId="77777777" w:rsidR="007E13DE" w:rsidRDefault="007E13DE"/>
        </w:tc>
        <w:tc>
          <w:tcPr>
            <w:tcW w:w="0" w:type="auto"/>
            <w:vMerge/>
            <w:tcBorders>
              <w:top w:val="nil"/>
              <w:left w:val="nil"/>
              <w:bottom w:val="nil"/>
              <w:right w:val="nil"/>
            </w:tcBorders>
          </w:tcPr>
          <w:p w14:paraId="183B88D5" w14:textId="77777777" w:rsidR="007E13DE" w:rsidRDefault="007E13DE"/>
        </w:tc>
      </w:tr>
      <w:tr w:rsidR="007E13DE" w14:paraId="5EA3B079"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0FC2A5C8" w14:textId="77777777" w:rsidR="007E13DE" w:rsidRDefault="00000000">
            <w:pPr>
              <w:spacing w:after="0"/>
            </w:pPr>
            <w:r>
              <w:rPr>
                <w:rFonts w:ascii="Times New Roman" w:eastAsia="Times New Roman" w:hAnsi="Times New Roman" w:cs="Times New Roman"/>
                <w:sz w:val="8"/>
              </w:rPr>
              <w:t xml:space="preserve">1 OBJETIVO  </w:t>
            </w:r>
          </w:p>
        </w:tc>
        <w:tc>
          <w:tcPr>
            <w:tcW w:w="0" w:type="auto"/>
            <w:vMerge/>
            <w:tcBorders>
              <w:top w:val="nil"/>
              <w:left w:val="single" w:sz="3" w:space="0" w:color="000000"/>
              <w:bottom w:val="nil"/>
              <w:right w:val="nil"/>
            </w:tcBorders>
          </w:tcPr>
          <w:p w14:paraId="395E9916" w14:textId="77777777" w:rsidR="007E13DE" w:rsidRDefault="007E13DE"/>
        </w:tc>
        <w:tc>
          <w:tcPr>
            <w:tcW w:w="0" w:type="auto"/>
            <w:vMerge/>
            <w:tcBorders>
              <w:top w:val="nil"/>
              <w:left w:val="nil"/>
              <w:bottom w:val="nil"/>
              <w:right w:val="nil"/>
            </w:tcBorders>
          </w:tcPr>
          <w:p w14:paraId="7D23BA01" w14:textId="77777777" w:rsidR="007E13DE" w:rsidRDefault="007E13DE"/>
        </w:tc>
      </w:tr>
      <w:tr w:rsidR="007E13DE" w14:paraId="6D51C86D"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8B5F264" w14:textId="77777777" w:rsidR="007E13DE" w:rsidRDefault="00000000">
            <w:pPr>
              <w:spacing w:after="0"/>
              <w:jc w:val="both"/>
            </w:pPr>
            <w:r>
              <w:rPr>
                <w:rFonts w:ascii="Times New Roman" w:eastAsia="Times New Roman" w:hAnsi="Times New Roman" w:cs="Times New Roman"/>
                <w:sz w:val="8"/>
              </w:rPr>
              <w:t xml:space="preserve">1.1 Estabelecer as condições gerais para a contratação do acesso, compreendendo o uso e a conexão, aos sistemas de transmissão de energia elétrica.  </w:t>
            </w:r>
          </w:p>
        </w:tc>
        <w:tc>
          <w:tcPr>
            <w:tcW w:w="0" w:type="auto"/>
            <w:vMerge/>
            <w:tcBorders>
              <w:top w:val="nil"/>
              <w:left w:val="single" w:sz="3" w:space="0" w:color="000000"/>
              <w:bottom w:val="nil"/>
              <w:right w:val="nil"/>
            </w:tcBorders>
          </w:tcPr>
          <w:p w14:paraId="0720B768" w14:textId="77777777" w:rsidR="007E13DE" w:rsidRDefault="007E13DE"/>
        </w:tc>
        <w:tc>
          <w:tcPr>
            <w:tcW w:w="0" w:type="auto"/>
            <w:vMerge/>
            <w:tcBorders>
              <w:top w:val="nil"/>
              <w:left w:val="nil"/>
              <w:bottom w:val="nil"/>
              <w:right w:val="nil"/>
            </w:tcBorders>
          </w:tcPr>
          <w:p w14:paraId="0D28B26D" w14:textId="77777777" w:rsidR="007E13DE" w:rsidRDefault="007E13DE"/>
        </w:tc>
      </w:tr>
      <w:tr w:rsidR="007E13DE" w14:paraId="424D3423"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7582ECB7" w14:textId="77777777" w:rsidR="007E13DE" w:rsidRDefault="00000000">
            <w:pPr>
              <w:spacing w:after="0"/>
            </w:pPr>
            <w:r>
              <w:rPr>
                <w:rFonts w:ascii="Times New Roman" w:eastAsia="Times New Roman" w:hAnsi="Times New Roman" w:cs="Times New Roman"/>
                <w:sz w:val="8"/>
              </w:rPr>
              <w:t>1.2 Estabelecer os procedimentos para acesso e implementação de REFORÇOS nas DEMAIS INSTALAÇÕES DE TRANSMISSÃO – DIT – e para a expansão das INSTALAÇÕES DE TRANSMISSÃO de âmbito próprio, de interesse sistêmico, das concessionárias ou permissionárias de distribuição.</w:t>
            </w:r>
          </w:p>
        </w:tc>
        <w:tc>
          <w:tcPr>
            <w:tcW w:w="0" w:type="auto"/>
            <w:vMerge/>
            <w:tcBorders>
              <w:top w:val="nil"/>
              <w:left w:val="single" w:sz="3" w:space="0" w:color="000000"/>
              <w:bottom w:val="nil"/>
              <w:right w:val="nil"/>
            </w:tcBorders>
          </w:tcPr>
          <w:p w14:paraId="3AC010B5" w14:textId="77777777" w:rsidR="007E13DE" w:rsidRDefault="007E13DE"/>
        </w:tc>
        <w:tc>
          <w:tcPr>
            <w:tcW w:w="0" w:type="auto"/>
            <w:vMerge/>
            <w:tcBorders>
              <w:top w:val="nil"/>
              <w:left w:val="nil"/>
              <w:bottom w:val="nil"/>
              <w:right w:val="nil"/>
            </w:tcBorders>
          </w:tcPr>
          <w:p w14:paraId="754DBCB4" w14:textId="77777777" w:rsidR="007E13DE" w:rsidRDefault="007E13DE"/>
        </w:tc>
      </w:tr>
      <w:tr w:rsidR="007E13DE" w14:paraId="159EE34D"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26D5E82D" w14:textId="77777777" w:rsidR="007E13DE" w:rsidRDefault="00000000">
            <w:pPr>
              <w:spacing w:after="0"/>
              <w:ind w:left="2"/>
            </w:pPr>
            <w:r>
              <w:rPr>
                <w:rFonts w:ascii="Times New Roman" w:eastAsia="Times New Roman" w:hAnsi="Times New Roman" w:cs="Times New Roman"/>
                <w:sz w:val="11"/>
              </w:rPr>
              <w:t>SEÇÃO 5.1 – ACESSO DE CENTRAIS GERADORAS</w:t>
            </w:r>
          </w:p>
        </w:tc>
        <w:tc>
          <w:tcPr>
            <w:tcW w:w="0" w:type="auto"/>
            <w:vMerge/>
            <w:tcBorders>
              <w:top w:val="nil"/>
              <w:left w:val="single" w:sz="3" w:space="0" w:color="000000"/>
              <w:bottom w:val="nil"/>
              <w:right w:val="nil"/>
            </w:tcBorders>
          </w:tcPr>
          <w:p w14:paraId="7738C86E" w14:textId="77777777" w:rsidR="007E13DE" w:rsidRDefault="007E13DE"/>
        </w:tc>
        <w:tc>
          <w:tcPr>
            <w:tcW w:w="0" w:type="auto"/>
            <w:vMerge/>
            <w:tcBorders>
              <w:top w:val="nil"/>
              <w:left w:val="nil"/>
              <w:bottom w:val="nil"/>
              <w:right w:val="nil"/>
            </w:tcBorders>
          </w:tcPr>
          <w:p w14:paraId="586E2C1B" w14:textId="77777777" w:rsidR="007E13DE" w:rsidRDefault="007E13DE"/>
        </w:tc>
      </w:tr>
      <w:tr w:rsidR="007E13DE" w14:paraId="5D66D356"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0B82AC23" w14:textId="77777777" w:rsidR="007E13DE" w:rsidRDefault="00000000">
            <w:pPr>
              <w:spacing w:after="0"/>
            </w:pPr>
            <w:r>
              <w:rPr>
                <w:rFonts w:ascii="Times New Roman" w:eastAsia="Times New Roman" w:hAnsi="Times New Roman" w:cs="Times New Roman"/>
                <w:sz w:val="8"/>
              </w:rPr>
              <w:t>1 OBJETIVO</w:t>
            </w:r>
          </w:p>
        </w:tc>
        <w:tc>
          <w:tcPr>
            <w:tcW w:w="0" w:type="auto"/>
            <w:vMerge/>
            <w:tcBorders>
              <w:top w:val="nil"/>
              <w:left w:val="single" w:sz="3" w:space="0" w:color="000000"/>
              <w:bottom w:val="nil"/>
              <w:right w:val="nil"/>
            </w:tcBorders>
          </w:tcPr>
          <w:p w14:paraId="2F125FCE" w14:textId="77777777" w:rsidR="007E13DE" w:rsidRDefault="007E13DE"/>
        </w:tc>
        <w:tc>
          <w:tcPr>
            <w:tcW w:w="0" w:type="auto"/>
            <w:vMerge/>
            <w:tcBorders>
              <w:top w:val="nil"/>
              <w:left w:val="nil"/>
              <w:bottom w:val="nil"/>
              <w:right w:val="nil"/>
            </w:tcBorders>
          </w:tcPr>
          <w:p w14:paraId="6EF2384D" w14:textId="77777777" w:rsidR="007E13DE" w:rsidRDefault="007E13DE"/>
        </w:tc>
      </w:tr>
      <w:tr w:rsidR="007E13DE" w14:paraId="3D58CDA7"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CC683B3" w14:textId="77777777" w:rsidR="007E13DE" w:rsidRDefault="00000000">
            <w:pPr>
              <w:spacing w:after="0"/>
            </w:pPr>
            <w:r>
              <w:rPr>
                <w:rFonts w:ascii="Times New Roman" w:eastAsia="Times New Roman" w:hAnsi="Times New Roman" w:cs="Times New Roman"/>
                <w:sz w:val="8"/>
              </w:rPr>
              <w:t>1.1 Estabelecer, para as CENTRAIS GERADORAS, as condições gerais para contratação do acesso, compreendendo o uso e a conexão, aos sistemas de transmissão de energia elétrica.</w:t>
            </w:r>
          </w:p>
        </w:tc>
        <w:tc>
          <w:tcPr>
            <w:tcW w:w="0" w:type="auto"/>
            <w:vMerge/>
            <w:tcBorders>
              <w:top w:val="nil"/>
              <w:left w:val="single" w:sz="3" w:space="0" w:color="000000"/>
              <w:bottom w:val="nil"/>
              <w:right w:val="nil"/>
            </w:tcBorders>
          </w:tcPr>
          <w:p w14:paraId="76B754B9" w14:textId="77777777" w:rsidR="007E13DE" w:rsidRDefault="007E13DE"/>
        </w:tc>
        <w:tc>
          <w:tcPr>
            <w:tcW w:w="0" w:type="auto"/>
            <w:vMerge/>
            <w:tcBorders>
              <w:top w:val="nil"/>
              <w:left w:val="nil"/>
              <w:bottom w:val="nil"/>
              <w:right w:val="nil"/>
            </w:tcBorders>
          </w:tcPr>
          <w:p w14:paraId="723A3038" w14:textId="77777777" w:rsidR="007E13DE" w:rsidRDefault="007E13DE"/>
        </w:tc>
      </w:tr>
      <w:tr w:rsidR="007E13DE" w14:paraId="0C5D1341" w14:textId="77777777">
        <w:trPr>
          <w:trHeight w:val="144"/>
        </w:trPr>
        <w:tc>
          <w:tcPr>
            <w:tcW w:w="5162" w:type="dxa"/>
            <w:tcBorders>
              <w:top w:val="single" w:sz="3" w:space="0" w:color="000000"/>
              <w:left w:val="single" w:sz="3" w:space="0" w:color="000000"/>
              <w:bottom w:val="single" w:sz="3" w:space="0" w:color="000000"/>
              <w:right w:val="single" w:sz="3" w:space="0" w:color="000000"/>
            </w:tcBorders>
          </w:tcPr>
          <w:p w14:paraId="12D65C82" w14:textId="77777777" w:rsidR="007E13DE" w:rsidRDefault="00000000">
            <w:pPr>
              <w:spacing w:after="0"/>
              <w:ind w:left="2"/>
            </w:pPr>
            <w:r>
              <w:rPr>
                <w:rFonts w:ascii="Times New Roman" w:eastAsia="Times New Roman" w:hAnsi="Times New Roman" w:cs="Times New Roman"/>
                <w:sz w:val="11"/>
              </w:rPr>
              <w:t>SEÇÃO 5.2 – ACESSO DE CONSUMIDORES</w:t>
            </w:r>
          </w:p>
        </w:tc>
        <w:tc>
          <w:tcPr>
            <w:tcW w:w="0" w:type="auto"/>
            <w:vMerge/>
            <w:tcBorders>
              <w:top w:val="nil"/>
              <w:left w:val="single" w:sz="3" w:space="0" w:color="000000"/>
              <w:bottom w:val="nil"/>
              <w:right w:val="nil"/>
            </w:tcBorders>
          </w:tcPr>
          <w:p w14:paraId="44A79CBA" w14:textId="77777777" w:rsidR="007E13DE" w:rsidRDefault="007E13DE"/>
        </w:tc>
        <w:tc>
          <w:tcPr>
            <w:tcW w:w="0" w:type="auto"/>
            <w:vMerge/>
            <w:tcBorders>
              <w:top w:val="nil"/>
              <w:left w:val="nil"/>
              <w:bottom w:val="nil"/>
              <w:right w:val="nil"/>
            </w:tcBorders>
          </w:tcPr>
          <w:p w14:paraId="6D345991" w14:textId="77777777" w:rsidR="007E13DE" w:rsidRDefault="007E13DE"/>
        </w:tc>
      </w:tr>
      <w:tr w:rsidR="007E13DE" w14:paraId="5897A7FE"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69B85697" w14:textId="77777777" w:rsidR="007E13DE" w:rsidRDefault="00000000">
            <w:pPr>
              <w:spacing w:after="0"/>
            </w:pPr>
            <w:r>
              <w:rPr>
                <w:rFonts w:ascii="Times New Roman" w:eastAsia="Times New Roman" w:hAnsi="Times New Roman" w:cs="Times New Roman"/>
                <w:sz w:val="8"/>
              </w:rPr>
              <w:t>1 OBJETIVO</w:t>
            </w:r>
          </w:p>
        </w:tc>
        <w:tc>
          <w:tcPr>
            <w:tcW w:w="0" w:type="auto"/>
            <w:vMerge/>
            <w:tcBorders>
              <w:top w:val="nil"/>
              <w:left w:val="single" w:sz="3" w:space="0" w:color="000000"/>
              <w:bottom w:val="nil"/>
              <w:right w:val="nil"/>
            </w:tcBorders>
          </w:tcPr>
          <w:p w14:paraId="5FDEBE9D" w14:textId="77777777" w:rsidR="007E13DE" w:rsidRDefault="007E13DE"/>
        </w:tc>
        <w:tc>
          <w:tcPr>
            <w:tcW w:w="0" w:type="auto"/>
            <w:vMerge/>
            <w:tcBorders>
              <w:top w:val="nil"/>
              <w:left w:val="nil"/>
              <w:bottom w:val="nil"/>
              <w:right w:val="nil"/>
            </w:tcBorders>
          </w:tcPr>
          <w:p w14:paraId="7F436C1E" w14:textId="77777777" w:rsidR="007E13DE" w:rsidRDefault="007E13DE"/>
        </w:tc>
      </w:tr>
      <w:tr w:rsidR="007E13DE" w14:paraId="4684FDD5"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D14A718" w14:textId="77777777" w:rsidR="007E13DE" w:rsidRDefault="00000000">
            <w:pPr>
              <w:spacing w:after="0"/>
            </w:pPr>
            <w:proofErr w:type="gramStart"/>
            <w:r>
              <w:rPr>
                <w:rFonts w:ascii="Times New Roman" w:eastAsia="Times New Roman" w:hAnsi="Times New Roman" w:cs="Times New Roman"/>
                <w:sz w:val="8"/>
              </w:rPr>
              <w:t>1.1</w:t>
            </w:r>
            <w:r>
              <w:rPr>
                <w:rFonts w:ascii="Times New Roman" w:eastAsia="Times New Roman" w:hAnsi="Times New Roman" w:cs="Times New Roman"/>
                <w:sz w:val="5"/>
              </w:rPr>
              <w:t xml:space="preserve">  </w:t>
            </w:r>
            <w:r>
              <w:rPr>
                <w:rFonts w:ascii="Times New Roman" w:eastAsia="Times New Roman" w:hAnsi="Times New Roman" w:cs="Times New Roman"/>
                <w:sz w:val="8"/>
              </w:rPr>
              <w:t>Estabelecer</w:t>
            </w:r>
            <w:proofErr w:type="gramEnd"/>
            <w:r>
              <w:rPr>
                <w:rFonts w:ascii="Times New Roman" w:eastAsia="Times New Roman" w:hAnsi="Times New Roman" w:cs="Times New Roman"/>
                <w:sz w:val="8"/>
              </w:rPr>
              <w:t>, para os CONSUMIDORES, as condições gerais para contratação do acesso, compreendendo o uso e a conexão, aos sistemas de transmissão de energia elétrica.</w:t>
            </w:r>
          </w:p>
        </w:tc>
        <w:tc>
          <w:tcPr>
            <w:tcW w:w="0" w:type="auto"/>
            <w:vMerge/>
            <w:tcBorders>
              <w:top w:val="nil"/>
              <w:left w:val="single" w:sz="3" w:space="0" w:color="000000"/>
              <w:bottom w:val="nil"/>
              <w:right w:val="nil"/>
            </w:tcBorders>
          </w:tcPr>
          <w:p w14:paraId="2C5B2C2C" w14:textId="77777777" w:rsidR="007E13DE" w:rsidRDefault="007E13DE"/>
        </w:tc>
        <w:tc>
          <w:tcPr>
            <w:tcW w:w="0" w:type="auto"/>
            <w:vMerge/>
            <w:tcBorders>
              <w:top w:val="nil"/>
              <w:left w:val="nil"/>
              <w:bottom w:val="nil"/>
              <w:right w:val="nil"/>
            </w:tcBorders>
          </w:tcPr>
          <w:p w14:paraId="40BA4F67" w14:textId="77777777" w:rsidR="007E13DE" w:rsidRDefault="007E13DE"/>
        </w:tc>
      </w:tr>
      <w:tr w:rsidR="007E13DE" w14:paraId="18DC3926"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70A9EEE" w14:textId="77777777" w:rsidR="007E13DE" w:rsidRDefault="00000000">
            <w:pPr>
              <w:spacing w:after="0"/>
            </w:pPr>
            <w:r>
              <w:rPr>
                <w:rFonts w:ascii="Times New Roman" w:eastAsia="Times New Roman" w:hAnsi="Times New Roman" w:cs="Times New Roman"/>
                <w:sz w:val="8"/>
              </w:rPr>
              <w:t>2 CONDIÇÕES GERAIS DE ACESSO</w:t>
            </w:r>
          </w:p>
        </w:tc>
        <w:tc>
          <w:tcPr>
            <w:tcW w:w="0" w:type="auto"/>
            <w:vMerge/>
            <w:tcBorders>
              <w:top w:val="nil"/>
              <w:left w:val="single" w:sz="3" w:space="0" w:color="000000"/>
              <w:bottom w:val="single" w:sz="3" w:space="0" w:color="000000"/>
              <w:right w:val="nil"/>
            </w:tcBorders>
          </w:tcPr>
          <w:p w14:paraId="6D800665" w14:textId="77777777" w:rsidR="007E13DE" w:rsidRDefault="007E13DE"/>
        </w:tc>
        <w:tc>
          <w:tcPr>
            <w:tcW w:w="0" w:type="auto"/>
            <w:vMerge/>
            <w:tcBorders>
              <w:top w:val="nil"/>
              <w:left w:val="nil"/>
              <w:bottom w:val="single" w:sz="3" w:space="0" w:color="000000"/>
              <w:right w:val="nil"/>
            </w:tcBorders>
          </w:tcPr>
          <w:p w14:paraId="63824D4C" w14:textId="77777777" w:rsidR="007E13DE" w:rsidRDefault="007E13DE"/>
        </w:tc>
      </w:tr>
      <w:tr w:rsidR="007E13DE" w14:paraId="448350DE"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538926CB" w14:textId="77777777" w:rsidR="007E13DE" w:rsidRDefault="00000000">
            <w:pPr>
              <w:spacing w:after="0"/>
            </w:pPr>
            <w:r>
              <w:rPr>
                <w:rFonts w:ascii="Times New Roman" w:eastAsia="Times New Roman" w:hAnsi="Times New Roman" w:cs="Times New Roman"/>
                <w:color w:val="FF0000"/>
                <w:sz w:val="8"/>
              </w:rPr>
              <w:t xml:space="preserve">2.1 É assegurado aos CONSUMIDORES o livre acesso ao sistema de transmissão mediante pagamento dos encargos correspondentes e conforme as condições gerais estabelecidas pela ANEEL, não se confundindo o conceito de livre acesso com o conceito de acesso irrestrito ou a qualquer tempo. </w:t>
            </w:r>
          </w:p>
        </w:tc>
        <w:tc>
          <w:tcPr>
            <w:tcW w:w="1205" w:type="dxa"/>
            <w:tcBorders>
              <w:top w:val="single" w:sz="3" w:space="0" w:color="000000"/>
              <w:left w:val="single" w:sz="3" w:space="0" w:color="000000"/>
              <w:bottom w:val="single" w:sz="3" w:space="0" w:color="000000"/>
              <w:right w:val="single" w:sz="3" w:space="0" w:color="000000"/>
            </w:tcBorders>
            <w:vAlign w:val="center"/>
          </w:tcPr>
          <w:p w14:paraId="4FA2183B" w14:textId="77777777" w:rsidR="007E13DE" w:rsidRDefault="00000000">
            <w:pPr>
              <w:spacing w:after="0"/>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8886B26" w14:textId="77777777" w:rsidR="007E13DE" w:rsidRDefault="00000000">
            <w:pPr>
              <w:spacing w:after="0"/>
            </w:pPr>
            <w:r>
              <w:rPr>
                <w:rFonts w:ascii="Times New Roman" w:eastAsia="Times New Roman" w:hAnsi="Times New Roman" w:cs="Times New Roman"/>
                <w:sz w:val="8"/>
              </w:rPr>
              <w:t>Concordamos com a recomendação proposta pela ANEEL.</w:t>
            </w:r>
          </w:p>
        </w:tc>
      </w:tr>
      <w:tr w:rsidR="007E13DE" w14:paraId="26883B58"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7CC23A19" w14:textId="77777777" w:rsidR="007E13DE" w:rsidRDefault="00000000">
            <w:pPr>
              <w:spacing w:after="0"/>
            </w:pPr>
            <w:r>
              <w:rPr>
                <w:rFonts w:ascii="Times New Roman" w:eastAsia="Times New Roman" w:hAnsi="Times New Roman" w:cs="Times New Roman"/>
                <w:color w:val="FF0000"/>
                <w:sz w:val="8"/>
              </w:rPr>
              <w:t xml:space="preserve">2.2 O acesso ao sistema de transmissão deverá ser contratado separadamente da compra e venda de energia elétrica. </w:t>
            </w:r>
          </w:p>
        </w:tc>
        <w:tc>
          <w:tcPr>
            <w:tcW w:w="1205" w:type="dxa"/>
            <w:tcBorders>
              <w:top w:val="single" w:sz="3" w:space="0" w:color="000000"/>
              <w:left w:val="single" w:sz="3" w:space="0" w:color="000000"/>
              <w:bottom w:val="single" w:sz="3" w:space="0" w:color="000000"/>
              <w:right w:val="single" w:sz="3" w:space="0" w:color="000000"/>
            </w:tcBorders>
          </w:tcPr>
          <w:p w14:paraId="423BCF09" w14:textId="77777777" w:rsidR="007E13DE" w:rsidRDefault="00000000">
            <w:pPr>
              <w:spacing w:after="0"/>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0B827326" w14:textId="77777777" w:rsidR="007E13DE" w:rsidRDefault="00000000">
            <w:pPr>
              <w:spacing w:after="0"/>
            </w:pPr>
            <w:r>
              <w:rPr>
                <w:rFonts w:ascii="Times New Roman" w:eastAsia="Times New Roman" w:hAnsi="Times New Roman" w:cs="Times New Roman"/>
                <w:sz w:val="8"/>
              </w:rPr>
              <w:t>Concordamos com a recomendação proposta pela ANEEL.</w:t>
            </w:r>
          </w:p>
        </w:tc>
      </w:tr>
      <w:tr w:rsidR="007E13DE" w14:paraId="009A86A7"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53595DD5" w14:textId="77777777" w:rsidR="007E13DE" w:rsidRDefault="00000000">
            <w:pPr>
              <w:spacing w:after="0"/>
            </w:pPr>
            <w:r>
              <w:rPr>
                <w:rFonts w:ascii="Times New Roman" w:eastAsia="Times New Roman" w:hAnsi="Times New Roman" w:cs="Times New Roman"/>
                <w:sz w:val="8"/>
              </w:rPr>
              <w:t>2.3 O acesso aos sistemas de transmissão será regido pelos PROCEDIMENTOS DE REDE, pelos contratos celebrados entre as partes e pelas normas e padrões específicos de cada concessionária.</w:t>
            </w:r>
          </w:p>
        </w:tc>
        <w:tc>
          <w:tcPr>
            <w:tcW w:w="1205" w:type="dxa"/>
            <w:vMerge w:val="restart"/>
            <w:tcBorders>
              <w:top w:val="single" w:sz="3" w:space="0" w:color="000000"/>
              <w:left w:val="single" w:sz="3" w:space="0" w:color="000000"/>
              <w:bottom w:val="single" w:sz="3" w:space="0" w:color="000000"/>
              <w:right w:val="nil"/>
            </w:tcBorders>
          </w:tcPr>
          <w:p w14:paraId="26719D6E" w14:textId="77777777" w:rsidR="007E13DE" w:rsidRDefault="007E13DE"/>
        </w:tc>
        <w:tc>
          <w:tcPr>
            <w:tcW w:w="3967" w:type="dxa"/>
            <w:vMerge w:val="restart"/>
            <w:tcBorders>
              <w:top w:val="single" w:sz="3" w:space="0" w:color="000000"/>
              <w:left w:val="nil"/>
              <w:bottom w:val="single" w:sz="3" w:space="0" w:color="000000"/>
              <w:right w:val="nil"/>
            </w:tcBorders>
          </w:tcPr>
          <w:p w14:paraId="6FB151C3" w14:textId="77777777" w:rsidR="007E13DE" w:rsidRDefault="007E13DE"/>
        </w:tc>
      </w:tr>
      <w:tr w:rsidR="007E13DE" w14:paraId="0DA788AA"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432C5BDB" w14:textId="77777777" w:rsidR="007E13DE" w:rsidRDefault="00000000">
            <w:pPr>
              <w:spacing w:after="0" w:line="286" w:lineRule="auto"/>
            </w:pPr>
            <w:r>
              <w:rPr>
                <w:rFonts w:ascii="Times New Roman" w:eastAsia="Times New Roman" w:hAnsi="Times New Roman" w:cs="Times New Roman"/>
                <w:sz w:val="8"/>
              </w:rPr>
              <w:t xml:space="preserve"> 2.4 Para o acesso às INSTALAÇÕES DE TRANSMISSÃO componentes da REDE BÁSICA, os USUÁRIOS deverão firmar o CONTRATO DE USO DO SISTEMA DE TRANSMISSÃO – CUST com o OPERADOR NACIONAL DO SISTEMA ELÉTRICO – ONS, estabelecendo as condições técnicas e as obrigações relativas ao uso do sistema de transmissão, e o CONTRATO DE CONEXÃO ÀS INSTALAÇÕES DE TRANSMISSÃO – CCT com a TRANSMISSORA no PONTO DE CONEXÃO, estabelecendo as responsabilidades pela implantação, operação e manutenção das INSTALAÇÕES </w:t>
            </w:r>
          </w:p>
          <w:p w14:paraId="17CCBA54" w14:textId="77777777" w:rsidR="007E13DE" w:rsidRDefault="00000000">
            <w:pPr>
              <w:spacing w:after="0"/>
              <w:jc w:val="both"/>
            </w:pPr>
            <w:r>
              <w:rPr>
                <w:rFonts w:ascii="Times New Roman" w:eastAsia="Times New Roman" w:hAnsi="Times New Roman" w:cs="Times New Roman"/>
                <w:sz w:val="8"/>
              </w:rPr>
              <w:t>DE CONEXÃO e os respectivos ENCARGOS DE CONEXÃO, quando couber, bem como as condições comerciais e financeiras, nos PONTOS DE CONEXÃO.</w:t>
            </w:r>
          </w:p>
        </w:tc>
        <w:tc>
          <w:tcPr>
            <w:tcW w:w="0" w:type="auto"/>
            <w:vMerge/>
            <w:tcBorders>
              <w:top w:val="nil"/>
              <w:left w:val="single" w:sz="3" w:space="0" w:color="000000"/>
              <w:bottom w:val="single" w:sz="3" w:space="0" w:color="000000"/>
              <w:right w:val="nil"/>
            </w:tcBorders>
          </w:tcPr>
          <w:p w14:paraId="2414D852" w14:textId="77777777" w:rsidR="007E13DE" w:rsidRDefault="007E13DE"/>
        </w:tc>
        <w:tc>
          <w:tcPr>
            <w:tcW w:w="0" w:type="auto"/>
            <w:vMerge/>
            <w:tcBorders>
              <w:top w:val="nil"/>
              <w:left w:val="nil"/>
              <w:bottom w:val="single" w:sz="3" w:space="0" w:color="000000"/>
              <w:right w:val="nil"/>
            </w:tcBorders>
          </w:tcPr>
          <w:p w14:paraId="4EBB9748" w14:textId="77777777" w:rsidR="007E13DE" w:rsidRDefault="007E13DE"/>
        </w:tc>
      </w:tr>
      <w:tr w:rsidR="007E13DE" w14:paraId="489DDC39"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F329D9F" w14:textId="77777777" w:rsidR="007E13DE" w:rsidRDefault="00000000">
            <w:pPr>
              <w:spacing w:after="0"/>
            </w:pPr>
            <w:r>
              <w:rPr>
                <w:rFonts w:ascii="Times New Roman" w:eastAsia="Times New Roman" w:hAnsi="Times New Roman" w:cs="Times New Roman"/>
                <w:color w:val="FF0000"/>
                <w:sz w:val="8"/>
              </w:rPr>
              <w:t xml:space="preserve">2.5 O uso do sistema de transmissão se configura pela disponibilidade das INSTALAÇÕES DE TRANSMISSÃO aos USUÁRIOS, conforme condições estabelecidas no CUST e a partir da data de início de execução definida no contrato. </w:t>
            </w:r>
          </w:p>
        </w:tc>
        <w:tc>
          <w:tcPr>
            <w:tcW w:w="1205" w:type="dxa"/>
            <w:tcBorders>
              <w:top w:val="single" w:sz="3" w:space="0" w:color="000000"/>
              <w:left w:val="single" w:sz="3" w:space="0" w:color="000000"/>
              <w:bottom w:val="single" w:sz="3" w:space="0" w:color="000000"/>
              <w:right w:val="single" w:sz="3" w:space="0" w:color="000000"/>
            </w:tcBorders>
          </w:tcPr>
          <w:p w14:paraId="03D5E1FD" w14:textId="77777777" w:rsidR="007E13DE" w:rsidRDefault="00000000">
            <w:pPr>
              <w:spacing w:after="0"/>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3F4B58E3" w14:textId="77777777" w:rsidR="007E13DE" w:rsidRDefault="00000000">
            <w:pPr>
              <w:spacing w:after="0"/>
            </w:pPr>
            <w:r>
              <w:rPr>
                <w:rFonts w:ascii="Times New Roman" w:eastAsia="Times New Roman" w:hAnsi="Times New Roman" w:cs="Times New Roman"/>
                <w:sz w:val="8"/>
              </w:rPr>
              <w:t>Concordamos com a recomendação proposta pela ANEEL.</w:t>
            </w:r>
          </w:p>
        </w:tc>
      </w:tr>
      <w:tr w:rsidR="007E13DE" w14:paraId="4F6F48D3"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B1655CA" w14:textId="77777777" w:rsidR="007E13DE" w:rsidRDefault="00000000">
            <w:pPr>
              <w:spacing w:after="11"/>
            </w:pPr>
            <w:r>
              <w:rPr>
                <w:rFonts w:ascii="Times New Roman" w:eastAsia="Times New Roman" w:hAnsi="Times New Roman" w:cs="Times New Roman"/>
                <w:sz w:val="8"/>
              </w:rPr>
              <w:t xml:space="preserve">2.6 As providências para implantação das obras e o próprio acesso aos sistemas de transmissão só poderão ser efetivadas após a assinatura do </w:t>
            </w:r>
          </w:p>
          <w:p w14:paraId="52E6137A" w14:textId="77777777" w:rsidR="007E13DE" w:rsidRDefault="00000000">
            <w:pPr>
              <w:spacing w:after="0"/>
            </w:pPr>
            <w:r>
              <w:rPr>
                <w:rFonts w:ascii="Times New Roman" w:eastAsia="Times New Roman" w:hAnsi="Times New Roman" w:cs="Times New Roman"/>
                <w:sz w:val="8"/>
              </w:rPr>
              <w:t>CCT e do CUST. 2.7 Na conexão às INSTALAÇÕES DE TRANSMISSÃO não serão permitidas quaisquer exigências de caráter discriminatório aos ACESSANTESUSUÁRIOS.</w:t>
            </w:r>
          </w:p>
        </w:tc>
        <w:tc>
          <w:tcPr>
            <w:tcW w:w="1205" w:type="dxa"/>
            <w:tcBorders>
              <w:top w:val="single" w:sz="3" w:space="0" w:color="000000"/>
              <w:left w:val="single" w:sz="3" w:space="0" w:color="000000"/>
              <w:bottom w:val="nil"/>
              <w:right w:val="nil"/>
            </w:tcBorders>
          </w:tcPr>
          <w:p w14:paraId="5F861B24" w14:textId="77777777" w:rsidR="007E13DE" w:rsidRDefault="007E13DE"/>
        </w:tc>
        <w:tc>
          <w:tcPr>
            <w:tcW w:w="3967" w:type="dxa"/>
            <w:tcBorders>
              <w:top w:val="single" w:sz="3" w:space="0" w:color="000000"/>
              <w:left w:val="nil"/>
              <w:bottom w:val="nil"/>
              <w:right w:val="nil"/>
            </w:tcBorders>
          </w:tcPr>
          <w:p w14:paraId="36CC1C87" w14:textId="77777777" w:rsidR="007E13DE" w:rsidRDefault="007E13DE"/>
        </w:tc>
      </w:tr>
    </w:tbl>
    <w:p w14:paraId="7B49A210" w14:textId="77777777" w:rsidR="007E13DE" w:rsidRDefault="007E13DE">
      <w:pPr>
        <w:spacing w:after="0"/>
        <w:ind w:left="-1440" w:right="8626"/>
      </w:pPr>
    </w:p>
    <w:tbl>
      <w:tblPr>
        <w:tblStyle w:val="TableGrid"/>
        <w:tblW w:w="10334" w:type="dxa"/>
        <w:tblInd w:w="-690" w:type="dxa"/>
        <w:tblCellMar>
          <w:top w:w="0" w:type="dxa"/>
          <w:left w:w="18" w:type="dxa"/>
          <w:bottom w:w="0" w:type="dxa"/>
          <w:right w:w="1" w:type="dxa"/>
        </w:tblCellMar>
        <w:tblLook w:val="04A0" w:firstRow="1" w:lastRow="0" w:firstColumn="1" w:lastColumn="0" w:noHBand="0" w:noVBand="1"/>
      </w:tblPr>
      <w:tblGrid>
        <w:gridCol w:w="5162"/>
        <w:gridCol w:w="1205"/>
        <w:gridCol w:w="3967"/>
      </w:tblGrid>
      <w:tr w:rsidR="007E13DE" w14:paraId="3DE94595" w14:textId="77777777">
        <w:trPr>
          <w:trHeight w:val="139"/>
        </w:trPr>
        <w:tc>
          <w:tcPr>
            <w:tcW w:w="10334" w:type="dxa"/>
            <w:gridSpan w:val="3"/>
            <w:tcBorders>
              <w:top w:val="single" w:sz="5" w:space="0" w:color="000000"/>
              <w:left w:val="single" w:sz="5" w:space="0" w:color="000000"/>
              <w:bottom w:val="single" w:sz="3" w:space="0" w:color="000000"/>
              <w:right w:val="single" w:sz="5" w:space="0" w:color="000000"/>
            </w:tcBorders>
          </w:tcPr>
          <w:p w14:paraId="52DB30BB" w14:textId="77777777" w:rsidR="007E13DE" w:rsidRDefault="00000000">
            <w:pPr>
              <w:spacing w:after="0"/>
              <w:ind w:right="2"/>
              <w:jc w:val="center"/>
            </w:pPr>
            <w:r>
              <w:rPr>
                <w:rFonts w:ascii="Times New Roman" w:eastAsia="Times New Roman" w:hAnsi="Times New Roman" w:cs="Times New Roman"/>
                <w:color w:val="0000FF"/>
                <w:sz w:val="11"/>
              </w:rPr>
              <w:t>CONTRIBUIÇÃO REFERENTE À CONSULTA PÚBLICA Nº 023/2024</w:t>
            </w:r>
          </w:p>
        </w:tc>
      </w:tr>
      <w:tr w:rsidR="007E13DE" w14:paraId="7F3B1C33"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391F4231" w14:textId="77777777" w:rsidR="007E13DE" w:rsidRDefault="00000000">
            <w:pPr>
              <w:spacing w:after="0"/>
              <w:ind w:right="16"/>
              <w:jc w:val="center"/>
            </w:pPr>
            <w:r>
              <w:rPr>
                <w:rFonts w:ascii="Times New Roman" w:eastAsia="Times New Roman" w:hAnsi="Times New Roman" w:cs="Times New Roman"/>
                <w:color w:val="0000FF"/>
                <w:sz w:val="11"/>
              </w:rPr>
              <w:t>NOME DA INSTITUIÇÃO:  CONCEN Conselho de Consumidores da Energisa Mato Grosso do Sul</w:t>
            </w:r>
          </w:p>
        </w:tc>
      </w:tr>
      <w:tr w:rsidR="007E13DE" w14:paraId="7134AF29" w14:textId="77777777">
        <w:trPr>
          <w:trHeight w:val="139"/>
        </w:trPr>
        <w:tc>
          <w:tcPr>
            <w:tcW w:w="10334" w:type="dxa"/>
            <w:gridSpan w:val="3"/>
            <w:tcBorders>
              <w:top w:val="single" w:sz="3" w:space="0" w:color="000000"/>
              <w:left w:val="single" w:sz="5" w:space="0" w:color="000000"/>
              <w:bottom w:val="single" w:sz="3" w:space="0" w:color="000000"/>
              <w:right w:val="single" w:sz="5" w:space="0" w:color="000000"/>
            </w:tcBorders>
          </w:tcPr>
          <w:p w14:paraId="19B5DEE5" w14:textId="77777777" w:rsidR="007E13DE" w:rsidRDefault="00000000">
            <w:pPr>
              <w:tabs>
                <w:tab w:val="center" w:pos="727"/>
                <w:tab w:val="center" w:pos="5157"/>
              </w:tabs>
              <w:spacing w:after="0"/>
            </w:pPr>
            <w:r>
              <w:tab/>
            </w:r>
            <w:r>
              <w:rPr>
                <w:noProof/>
              </w:rPr>
              <w:drawing>
                <wp:inline distT="0" distB="0" distL="0" distR="0" wp14:anchorId="17A69720" wp14:editId="6D00571A">
                  <wp:extent cx="438912" cy="291084"/>
                  <wp:effectExtent l="0" t="0" r="0" b="0"/>
                  <wp:docPr id="2030" name="Picture 2030"/>
                  <wp:cNvGraphicFramePr/>
                  <a:graphic xmlns:a="http://schemas.openxmlformats.org/drawingml/2006/main">
                    <a:graphicData uri="http://schemas.openxmlformats.org/drawingml/2006/picture">
                      <pic:pic xmlns:pic="http://schemas.openxmlformats.org/drawingml/2006/picture">
                        <pic:nvPicPr>
                          <pic:cNvPr id="2030" name="Picture 2030"/>
                          <pic:cNvPicPr/>
                        </pic:nvPicPr>
                        <pic:blipFill>
                          <a:blip r:embed="rId6"/>
                          <a:stretch>
                            <a:fillRect/>
                          </a:stretch>
                        </pic:blipFill>
                        <pic:spPr>
                          <a:xfrm>
                            <a:off x="0" y="0"/>
                            <a:ext cx="438912" cy="291084"/>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7E13DE" w14:paraId="1F449DBA" w14:textId="77777777">
        <w:trPr>
          <w:trHeight w:val="108"/>
        </w:trPr>
        <w:tc>
          <w:tcPr>
            <w:tcW w:w="10334" w:type="dxa"/>
            <w:gridSpan w:val="3"/>
            <w:tcBorders>
              <w:top w:val="single" w:sz="3" w:space="0" w:color="000000"/>
              <w:left w:val="single" w:sz="5" w:space="0" w:color="000000"/>
              <w:bottom w:val="single" w:sz="3" w:space="0" w:color="000000"/>
              <w:right w:val="single" w:sz="5" w:space="0" w:color="000000"/>
            </w:tcBorders>
          </w:tcPr>
          <w:p w14:paraId="0D30AC09" w14:textId="77777777" w:rsidR="007E13DE" w:rsidRDefault="00000000">
            <w:pPr>
              <w:spacing w:after="0"/>
              <w:ind w:right="5"/>
              <w:jc w:val="center"/>
            </w:pPr>
            <w:r>
              <w:rPr>
                <w:rFonts w:ascii="Times New Roman" w:eastAsia="Times New Roman" w:hAnsi="Times New Roman" w:cs="Times New Roman"/>
                <w:color w:val="0000FF"/>
                <w:sz w:val="8"/>
              </w:rPr>
              <w:t xml:space="preserve">ATO REGULATÓRIO: Nº 71/2024–STD/ANEEL de 22 de agosto de 2024 e Módulo 5 das Regras dos Serviços de Transmissão de Energia Elétrica Módulo 5 – Acesso ao Sistema </w:t>
            </w:r>
          </w:p>
        </w:tc>
      </w:tr>
      <w:tr w:rsidR="007E13DE" w14:paraId="5A1DBF39" w14:textId="77777777">
        <w:trPr>
          <w:trHeight w:val="103"/>
        </w:trPr>
        <w:tc>
          <w:tcPr>
            <w:tcW w:w="10334" w:type="dxa"/>
            <w:gridSpan w:val="3"/>
            <w:tcBorders>
              <w:top w:val="single" w:sz="3" w:space="0" w:color="000000"/>
              <w:left w:val="single" w:sz="5" w:space="0" w:color="000000"/>
              <w:bottom w:val="single" w:sz="3" w:space="0" w:color="000000"/>
              <w:right w:val="single" w:sz="5" w:space="0" w:color="000000"/>
            </w:tcBorders>
          </w:tcPr>
          <w:p w14:paraId="2663B4D9" w14:textId="77777777" w:rsidR="007E13DE" w:rsidRDefault="00000000">
            <w:pPr>
              <w:spacing w:after="0"/>
              <w:ind w:right="14"/>
              <w:jc w:val="center"/>
            </w:pPr>
            <w:r>
              <w:rPr>
                <w:rFonts w:ascii="Times New Roman" w:eastAsia="Times New Roman" w:hAnsi="Times New Roman" w:cs="Times New Roman"/>
                <w:color w:val="0000FF"/>
                <w:sz w:val="8"/>
              </w:rPr>
              <w:t>EMENTA: Obter subsídios para avaliar a necessidade de intervenção regulatória que trate das requisições de acesso à Rede Básica por unidades consumidoras.</w:t>
            </w:r>
          </w:p>
        </w:tc>
      </w:tr>
      <w:tr w:rsidR="007E13DE" w14:paraId="59985AF3" w14:textId="77777777">
        <w:trPr>
          <w:trHeight w:val="125"/>
        </w:trPr>
        <w:tc>
          <w:tcPr>
            <w:tcW w:w="10334" w:type="dxa"/>
            <w:gridSpan w:val="3"/>
            <w:tcBorders>
              <w:top w:val="single" w:sz="3" w:space="0" w:color="000000"/>
              <w:left w:val="single" w:sz="5" w:space="0" w:color="000000"/>
              <w:bottom w:val="single" w:sz="3" w:space="0" w:color="000000"/>
              <w:right w:val="single" w:sz="5" w:space="0" w:color="000000"/>
            </w:tcBorders>
          </w:tcPr>
          <w:p w14:paraId="423DD81B" w14:textId="77777777" w:rsidR="007E13DE" w:rsidRDefault="00000000">
            <w:pPr>
              <w:spacing w:after="0"/>
              <w:ind w:right="17"/>
              <w:jc w:val="center"/>
            </w:pPr>
            <w:r>
              <w:rPr>
                <w:rFonts w:ascii="Times New Roman" w:eastAsia="Times New Roman" w:hAnsi="Times New Roman" w:cs="Times New Roman"/>
                <w:color w:val="0000FF"/>
                <w:sz w:val="10"/>
              </w:rPr>
              <w:t>CONTRIBUIÇÕES RECEBIDAS</w:t>
            </w:r>
          </w:p>
        </w:tc>
      </w:tr>
      <w:tr w:rsidR="007E13DE" w14:paraId="468CBE25" w14:textId="77777777">
        <w:trPr>
          <w:trHeight w:val="178"/>
        </w:trPr>
        <w:tc>
          <w:tcPr>
            <w:tcW w:w="10334" w:type="dxa"/>
            <w:gridSpan w:val="3"/>
            <w:tcBorders>
              <w:top w:val="single" w:sz="3" w:space="0" w:color="000000"/>
              <w:left w:val="single" w:sz="5" w:space="0" w:color="000000"/>
              <w:bottom w:val="double" w:sz="5" w:space="0" w:color="000000"/>
              <w:right w:val="single" w:sz="5" w:space="0" w:color="000000"/>
            </w:tcBorders>
          </w:tcPr>
          <w:p w14:paraId="44E5FFA2" w14:textId="77777777" w:rsidR="007E13DE" w:rsidRDefault="00000000">
            <w:pPr>
              <w:spacing w:after="0"/>
            </w:pPr>
            <w:r>
              <w:rPr>
                <w:rFonts w:ascii="Times New Roman" w:eastAsia="Times New Roman" w:hAnsi="Times New Roman" w:cs="Times New Roman"/>
                <w:sz w:val="8"/>
              </w:rPr>
              <w:t xml:space="preserve">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w:t>
            </w:r>
          </w:p>
        </w:tc>
      </w:tr>
      <w:tr w:rsidR="007E13DE" w14:paraId="581E07E5" w14:textId="77777777">
        <w:trPr>
          <w:trHeight w:val="79"/>
        </w:trPr>
        <w:tc>
          <w:tcPr>
            <w:tcW w:w="5162" w:type="dxa"/>
            <w:tcBorders>
              <w:top w:val="double" w:sz="5" w:space="0" w:color="000000"/>
              <w:left w:val="single" w:sz="5" w:space="0" w:color="000000"/>
              <w:bottom w:val="double" w:sz="5" w:space="0" w:color="000000"/>
              <w:right w:val="single" w:sz="5" w:space="0" w:color="000000"/>
            </w:tcBorders>
          </w:tcPr>
          <w:p w14:paraId="2067788C" w14:textId="77777777" w:rsidR="007E13DE" w:rsidRDefault="00000000">
            <w:pPr>
              <w:spacing w:after="0"/>
              <w:ind w:right="16"/>
              <w:jc w:val="center"/>
            </w:pPr>
            <w:r>
              <w:rPr>
                <w:rFonts w:ascii="Times New Roman" w:eastAsia="Times New Roman" w:hAnsi="Times New Roman" w:cs="Times New Roman"/>
                <w:color w:val="FFFFFF"/>
                <w:sz w:val="10"/>
              </w:rPr>
              <w:t xml:space="preserve">TEXTO/ANEEL </w:t>
            </w:r>
          </w:p>
        </w:tc>
        <w:tc>
          <w:tcPr>
            <w:tcW w:w="1205" w:type="dxa"/>
            <w:vMerge w:val="restart"/>
            <w:tcBorders>
              <w:top w:val="double" w:sz="5" w:space="0" w:color="000000"/>
              <w:left w:val="single" w:sz="3" w:space="0" w:color="000000"/>
              <w:bottom w:val="single" w:sz="3" w:space="0" w:color="000000"/>
              <w:right w:val="nil"/>
            </w:tcBorders>
          </w:tcPr>
          <w:p w14:paraId="3C8843F0" w14:textId="77777777" w:rsidR="007E13DE" w:rsidRDefault="00000000">
            <w:pPr>
              <w:spacing w:after="0"/>
              <w:ind w:right="15"/>
              <w:jc w:val="center"/>
            </w:pPr>
            <w:r>
              <w:rPr>
                <w:rFonts w:ascii="Times New Roman" w:eastAsia="Times New Roman" w:hAnsi="Times New Roman" w:cs="Times New Roman"/>
                <w:color w:val="FFFFFF"/>
                <w:sz w:val="8"/>
              </w:rPr>
              <w:t>TEXTO/INSTITUIÇÃO</w:t>
            </w:r>
          </w:p>
        </w:tc>
        <w:tc>
          <w:tcPr>
            <w:tcW w:w="3967" w:type="dxa"/>
            <w:vMerge w:val="restart"/>
            <w:tcBorders>
              <w:top w:val="double" w:sz="5" w:space="0" w:color="000000"/>
              <w:left w:val="nil"/>
              <w:bottom w:val="single" w:sz="3" w:space="0" w:color="000000"/>
              <w:right w:val="nil"/>
            </w:tcBorders>
          </w:tcPr>
          <w:p w14:paraId="52A3270D" w14:textId="77777777" w:rsidR="007E13DE" w:rsidRDefault="00000000">
            <w:pPr>
              <w:spacing w:after="0"/>
              <w:ind w:right="15"/>
              <w:jc w:val="center"/>
            </w:pPr>
            <w:r>
              <w:rPr>
                <w:rFonts w:ascii="Times New Roman" w:eastAsia="Times New Roman" w:hAnsi="Times New Roman" w:cs="Times New Roman"/>
                <w:color w:val="FFFFFF"/>
                <w:sz w:val="8"/>
              </w:rPr>
              <w:t>JUSTIFICATIVA/INSTITUIÇÃO</w:t>
            </w:r>
          </w:p>
        </w:tc>
      </w:tr>
      <w:tr w:rsidR="007E13DE" w14:paraId="7E5DC1B3" w14:textId="77777777">
        <w:trPr>
          <w:trHeight w:val="113"/>
        </w:trPr>
        <w:tc>
          <w:tcPr>
            <w:tcW w:w="5162" w:type="dxa"/>
            <w:tcBorders>
              <w:top w:val="double" w:sz="5" w:space="0" w:color="000000"/>
              <w:left w:val="single" w:sz="3" w:space="0" w:color="000000"/>
              <w:bottom w:val="single" w:sz="3" w:space="0" w:color="000000"/>
              <w:right w:val="single" w:sz="3" w:space="0" w:color="000000"/>
            </w:tcBorders>
          </w:tcPr>
          <w:p w14:paraId="1321C4CB" w14:textId="77777777" w:rsidR="007E13DE" w:rsidRDefault="00000000">
            <w:pPr>
              <w:spacing w:after="0"/>
              <w:ind w:left="2"/>
            </w:pPr>
            <w:r>
              <w:rPr>
                <w:rFonts w:ascii="Times New Roman" w:eastAsia="Times New Roman" w:hAnsi="Times New Roman" w:cs="Times New Roman"/>
                <w:sz w:val="8"/>
              </w:rPr>
              <w:t>2.10 Os USUÁRIOS dos sistemas de transmissão deverão:</w:t>
            </w:r>
          </w:p>
        </w:tc>
        <w:tc>
          <w:tcPr>
            <w:tcW w:w="0" w:type="auto"/>
            <w:vMerge/>
            <w:tcBorders>
              <w:top w:val="nil"/>
              <w:left w:val="single" w:sz="3" w:space="0" w:color="000000"/>
              <w:bottom w:val="nil"/>
              <w:right w:val="nil"/>
            </w:tcBorders>
          </w:tcPr>
          <w:p w14:paraId="1187691B" w14:textId="77777777" w:rsidR="007E13DE" w:rsidRDefault="007E13DE"/>
        </w:tc>
        <w:tc>
          <w:tcPr>
            <w:tcW w:w="0" w:type="auto"/>
            <w:vMerge/>
            <w:tcBorders>
              <w:top w:val="nil"/>
              <w:left w:val="nil"/>
              <w:bottom w:val="nil"/>
              <w:right w:val="nil"/>
            </w:tcBorders>
          </w:tcPr>
          <w:p w14:paraId="12D7DD9E" w14:textId="77777777" w:rsidR="007E13DE" w:rsidRDefault="007E13DE"/>
        </w:tc>
      </w:tr>
      <w:tr w:rsidR="007E13DE" w14:paraId="61F385C8"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6DDCDEEB" w14:textId="77777777" w:rsidR="007E13DE" w:rsidRDefault="00000000">
            <w:pPr>
              <w:spacing w:after="0"/>
              <w:ind w:left="370"/>
            </w:pPr>
            <w:r>
              <w:rPr>
                <w:rFonts w:ascii="Times New Roman" w:eastAsia="Times New Roman" w:hAnsi="Times New Roman" w:cs="Times New Roman"/>
                <w:sz w:val="8"/>
              </w:rPr>
              <w:t>a)</w:t>
            </w:r>
            <w:r>
              <w:rPr>
                <w:rFonts w:ascii="Times New Roman" w:eastAsia="Times New Roman" w:hAnsi="Times New Roman" w:cs="Times New Roman"/>
                <w:sz w:val="5"/>
              </w:rPr>
              <w:t xml:space="preserve">      </w:t>
            </w:r>
            <w:r>
              <w:rPr>
                <w:rFonts w:ascii="Times New Roman" w:eastAsia="Times New Roman" w:hAnsi="Times New Roman" w:cs="Times New Roman"/>
                <w:sz w:val="8"/>
              </w:rPr>
              <w:t>Solicitar ao ONS o acesso aos sistemas de transmissão;</w:t>
            </w:r>
          </w:p>
        </w:tc>
        <w:tc>
          <w:tcPr>
            <w:tcW w:w="0" w:type="auto"/>
            <w:vMerge/>
            <w:tcBorders>
              <w:top w:val="nil"/>
              <w:left w:val="single" w:sz="3" w:space="0" w:color="000000"/>
              <w:bottom w:val="nil"/>
              <w:right w:val="nil"/>
            </w:tcBorders>
          </w:tcPr>
          <w:p w14:paraId="4D60D6FB" w14:textId="77777777" w:rsidR="007E13DE" w:rsidRDefault="007E13DE"/>
        </w:tc>
        <w:tc>
          <w:tcPr>
            <w:tcW w:w="0" w:type="auto"/>
            <w:vMerge/>
            <w:tcBorders>
              <w:top w:val="nil"/>
              <w:left w:val="nil"/>
              <w:bottom w:val="nil"/>
              <w:right w:val="nil"/>
            </w:tcBorders>
          </w:tcPr>
          <w:p w14:paraId="17242D88" w14:textId="77777777" w:rsidR="007E13DE" w:rsidRDefault="007E13DE"/>
        </w:tc>
      </w:tr>
      <w:tr w:rsidR="007E13DE" w14:paraId="28F350EB"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56603F84" w14:textId="77777777" w:rsidR="007E13DE" w:rsidRDefault="00000000">
            <w:pPr>
              <w:spacing w:after="0"/>
              <w:ind w:left="370"/>
            </w:pPr>
            <w:r>
              <w:rPr>
                <w:rFonts w:ascii="Times New Roman" w:eastAsia="Times New Roman" w:hAnsi="Times New Roman" w:cs="Times New Roman"/>
                <w:sz w:val="8"/>
              </w:rPr>
              <w:t>b)</w:t>
            </w:r>
            <w:r>
              <w:rPr>
                <w:rFonts w:ascii="Times New Roman" w:eastAsia="Times New Roman" w:hAnsi="Times New Roman" w:cs="Times New Roman"/>
                <w:sz w:val="5"/>
              </w:rPr>
              <w:t xml:space="preserve">     </w:t>
            </w:r>
            <w:r>
              <w:rPr>
                <w:rFonts w:ascii="Times New Roman" w:eastAsia="Times New Roman" w:hAnsi="Times New Roman" w:cs="Times New Roman"/>
                <w:sz w:val="8"/>
              </w:rPr>
              <w:t>Celebrar o CCT e o CUST, após emissão de PARECER DE ACESSO;</w:t>
            </w:r>
          </w:p>
        </w:tc>
        <w:tc>
          <w:tcPr>
            <w:tcW w:w="0" w:type="auto"/>
            <w:vMerge/>
            <w:tcBorders>
              <w:top w:val="nil"/>
              <w:left w:val="single" w:sz="3" w:space="0" w:color="000000"/>
              <w:bottom w:val="single" w:sz="3" w:space="0" w:color="000000"/>
              <w:right w:val="nil"/>
            </w:tcBorders>
          </w:tcPr>
          <w:p w14:paraId="4571A071" w14:textId="77777777" w:rsidR="007E13DE" w:rsidRDefault="007E13DE"/>
        </w:tc>
        <w:tc>
          <w:tcPr>
            <w:tcW w:w="0" w:type="auto"/>
            <w:vMerge/>
            <w:tcBorders>
              <w:top w:val="nil"/>
              <w:left w:val="nil"/>
              <w:bottom w:val="single" w:sz="3" w:space="0" w:color="000000"/>
              <w:right w:val="nil"/>
            </w:tcBorders>
          </w:tcPr>
          <w:p w14:paraId="3324E1B3" w14:textId="77777777" w:rsidR="007E13DE" w:rsidRDefault="007E13DE"/>
        </w:tc>
      </w:tr>
      <w:tr w:rsidR="007E13DE" w14:paraId="5A2DE910"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19740663" w14:textId="77777777" w:rsidR="007E13DE" w:rsidRDefault="00000000">
            <w:pPr>
              <w:spacing w:after="0"/>
              <w:ind w:left="370"/>
            </w:pPr>
            <w:r>
              <w:rPr>
                <w:rFonts w:ascii="Times New Roman" w:eastAsia="Times New Roman" w:hAnsi="Times New Roman" w:cs="Times New Roman"/>
                <w:color w:val="FF0000"/>
                <w:sz w:val="8"/>
              </w:rPr>
              <w:t>c)</w:t>
            </w:r>
            <w:r>
              <w:rPr>
                <w:rFonts w:ascii="Times New Roman" w:eastAsia="Times New Roman" w:hAnsi="Times New Roman" w:cs="Times New Roman"/>
                <w:color w:val="FF0000"/>
                <w:sz w:val="5"/>
              </w:rPr>
              <w:t xml:space="preserve">      </w:t>
            </w:r>
            <w:r>
              <w:rPr>
                <w:rFonts w:ascii="Times New Roman" w:eastAsia="Times New Roman" w:hAnsi="Times New Roman" w:cs="Times New Roman"/>
                <w:color w:val="FF0000"/>
                <w:sz w:val="8"/>
              </w:rPr>
              <w:t>Apresentar as garantias financeiras exigidas em cada etapa do processo de acesso;</w:t>
            </w:r>
          </w:p>
        </w:tc>
        <w:tc>
          <w:tcPr>
            <w:tcW w:w="1205" w:type="dxa"/>
            <w:tcBorders>
              <w:top w:val="single" w:sz="3" w:space="0" w:color="000000"/>
              <w:left w:val="single" w:sz="3" w:space="0" w:color="000000"/>
              <w:bottom w:val="single" w:sz="3" w:space="0" w:color="000000"/>
              <w:right w:val="single" w:sz="3" w:space="0" w:color="000000"/>
            </w:tcBorders>
          </w:tcPr>
          <w:p w14:paraId="1325D497"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2D59696B"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0FCABE5E"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E52F7AF" w14:textId="77777777" w:rsidR="007E13DE" w:rsidRDefault="00000000">
            <w:pPr>
              <w:spacing w:after="0"/>
              <w:ind w:left="370"/>
            </w:pPr>
            <w:r>
              <w:rPr>
                <w:rFonts w:ascii="Times New Roman" w:eastAsia="Times New Roman" w:hAnsi="Times New Roman" w:cs="Times New Roman"/>
                <w:color w:val="FF0000"/>
                <w:sz w:val="8"/>
              </w:rPr>
              <w:t>d)</w:t>
            </w:r>
            <w:r>
              <w:rPr>
                <w:rFonts w:ascii="Times New Roman" w:eastAsia="Times New Roman" w:hAnsi="Times New Roman" w:cs="Times New Roman"/>
                <w:color w:val="FF0000"/>
                <w:sz w:val="5"/>
              </w:rPr>
              <w:t xml:space="preserve">     </w:t>
            </w:r>
            <w:r>
              <w:rPr>
                <w:rFonts w:ascii="Times New Roman" w:eastAsia="Times New Roman" w:hAnsi="Times New Roman" w:cs="Times New Roman"/>
                <w:color w:val="FF0000"/>
                <w:sz w:val="8"/>
              </w:rPr>
              <w:t xml:space="preserve"> Efetuar os estudos, projetos e a execução das INSTALAÇÕES DE INTERESSE RESTRITO e a conexão com o sistema elétrico da concessionária onde será feito o acesso; e </w:t>
            </w:r>
          </w:p>
        </w:tc>
        <w:tc>
          <w:tcPr>
            <w:tcW w:w="1205" w:type="dxa"/>
            <w:tcBorders>
              <w:top w:val="single" w:sz="3" w:space="0" w:color="000000"/>
              <w:left w:val="single" w:sz="3" w:space="0" w:color="000000"/>
              <w:bottom w:val="single" w:sz="3" w:space="0" w:color="000000"/>
              <w:right w:val="single" w:sz="3" w:space="0" w:color="000000"/>
            </w:tcBorders>
          </w:tcPr>
          <w:p w14:paraId="3FF4CB7E"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2D2F6F3A"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475A0A93"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6FF5DBC3" w14:textId="77777777" w:rsidR="007E13DE" w:rsidRDefault="00000000">
            <w:pPr>
              <w:spacing w:after="0"/>
              <w:ind w:left="370"/>
            </w:pPr>
            <w:r>
              <w:rPr>
                <w:rFonts w:ascii="Times New Roman" w:eastAsia="Times New Roman" w:hAnsi="Times New Roman" w:cs="Times New Roman"/>
                <w:color w:val="FF0000"/>
                <w:sz w:val="8"/>
              </w:rPr>
              <w:t>e)</w:t>
            </w:r>
            <w:r>
              <w:rPr>
                <w:rFonts w:ascii="Times New Roman" w:eastAsia="Times New Roman" w:hAnsi="Times New Roman" w:cs="Times New Roman"/>
                <w:color w:val="FF0000"/>
                <w:sz w:val="5"/>
              </w:rPr>
              <w:t xml:space="preserve">      </w:t>
            </w:r>
            <w:r>
              <w:rPr>
                <w:rFonts w:ascii="Times New Roman" w:eastAsia="Times New Roman" w:hAnsi="Times New Roman" w:cs="Times New Roman"/>
                <w:color w:val="FF0000"/>
                <w:sz w:val="8"/>
              </w:rPr>
              <w:t>Observar o disposto nos PROCEDIMENTOS DE REDE.</w:t>
            </w:r>
          </w:p>
        </w:tc>
        <w:tc>
          <w:tcPr>
            <w:tcW w:w="1205" w:type="dxa"/>
            <w:tcBorders>
              <w:top w:val="single" w:sz="3" w:space="0" w:color="000000"/>
              <w:left w:val="single" w:sz="3" w:space="0" w:color="000000"/>
              <w:bottom w:val="single" w:sz="3" w:space="0" w:color="000000"/>
              <w:right w:val="single" w:sz="3" w:space="0" w:color="000000"/>
            </w:tcBorders>
          </w:tcPr>
          <w:p w14:paraId="45FCA9D9"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090CB3CA"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4180313"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4547A19" w14:textId="77777777" w:rsidR="007E13DE" w:rsidRDefault="00000000">
            <w:pPr>
              <w:spacing w:after="0"/>
              <w:ind w:left="2"/>
            </w:pPr>
            <w:r>
              <w:rPr>
                <w:rFonts w:ascii="Times New Roman" w:eastAsia="Times New Roman" w:hAnsi="Times New Roman" w:cs="Times New Roman"/>
                <w:color w:val="FF0000"/>
                <w:sz w:val="8"/>
              </w:rPr>
              <w:t xml:space="preserve">2.13.3 A solicitação de acesso, com contratação de novo PONTO DE CONEXÃO, deverá ser acompanhada da apresentação, por parte do requisitante ao acesso, de garantia financeira proporcional ao período de validade do PARECER DE ACESSO, com valores calculados conforme a Eq. 8, que deverá ser renovada no caso de eventual revalidação do PARECER DE ACESSO.   </w:t>
            </w:r>
          </w:p>
        </w:tc>
        <w:tc>
          <w:tcPr>
            <w:tcW w:w="1205" w:type="dxa"/>
            <w:tcBorders>
              <w:top w:val="single" w:sz="3" w:space="0" w:color="000000"/>
              <w:left w:val="single" w:sz="3" w:space="0" w:color="000000"/>
              <w:bottom w:val="single" w:sz="3" w:space="0" w:color="000000"/>
              <w:right w:val="single" w:sz="3" w:space="0" w:color="000000"/>
            </w:tcBorders>
            <w:vAlign w:val="center"/>
          </w:tcPr>
          <w:p w14:paraId="17DD02FA"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4C7E7E5"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0E6AADF" w14:textId="77777777">
        <w:trPr>
          <w:trHeight w:val="833"/>
        </w:trPr>
        <w:tc>
          <w:tcPr>
            <w:tcW w:w="5162" w:type="dxa"/>
            <w:tcBorders>
              <w:top w:val="single" w:sz="3" w:space="0" w:color="000000"/>
              <w:left w:val="single" w:sz="3" w:space="0" w:color="000000"/>
              <w:bottom w:val="single" w:sz="3" w:space="0" w:color="000000"/>
              <w:right w:val="single" w:sz="3" w:space="0" w:color="000000"/>
            </w:tcBorders>
          </w:tcPr>
          <w:p w14:paraId="383AC34C" w14:textId="77777777" w:rsidR="007E13DE" w:rsidRDefault="00000000">
            <w:pPr>
              <w:spacing w:after="0"/>
              <w:ind w:left="523"/>
            </w:pPr>
            <w:r>
              <w:rPr>
                <w:noProof/>
              </w:rPr>
              <w:drawing>
                <wp:inline distT="0" distB="0" distL="0" distR="0" wp14:anchorId="411A6E4A" wp14:editId="2E05F1D0">
                  <wp:extent cx="2651760" cy="263652"/>
                  <wp:effectExtent l="0" t="0" r="0" b="0"/>
                  <wp:docPr id="2225" name="Picture 2225"/>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3"/>
                          <a:stretch>
                            <a:fillRect/>
                          </a:stretch>
                        </pic:blipFill>
                        <pic:spPr>
                          <a:xfrm>
                            <a:off x="0" y="0"/>
                            <a:ext cx="2651760" cy="263652"/>
                          </a:xfrm>
                          <a:prstGeom prst="rect">
                            <a:avLst/>
                          </a:prstGeom>
                        </pic:spPr>
                      </pic:pic>
                    </a:graphicData>
                  </a:graphic>
                </wp:inline>
              </w:drawing>
            </w:r>
          </w:p>
        </w:tc>
        <w:tc>
          <w:tcPr>
            <w:tcW w:w="1205" w:type="dxa"/>
            <w:tcBorders>
              <w:top w:val="single" w:sz="3" w:space="0" w:color="000000"/>
              <w:left w:val="single" w:sz="3" w:space="0" w:color="000000"/>
              <w:bottom w:val="single" w:sz="3" w:space="0" w:color="000000"/>
              <w:right w:val="single" w:sz="3" w:space="0" w:color="000000"/>
            </w:tcBorders>
            <w:vAlign w:val="center"/>
          </w:tcPr>
          <w:p w14:paraId="41631AD1"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208A676"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4C3B6E63"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5C361B14" w14:textId="77777777" w:rsidR="007E13DE" w:rsidRDefault="00000000">
            <w:pPr>
              <w:spacing w:after="0"/>
              <w:ind w:left="737"/>
            </w:pPr>
            <w:r>
              <w:rPr>
                <w:rFonts w:ascii="Times New Roman" w:eastAsia="Times New Roman" w:hAnsi="Times New Roman" w:cs="Times New Roman"/>
                <w:color w:val="FF0000"/>
                <w:sz w:val="8"/>
              </w:rPr>
              <w:t xml:space="preserve"> Onde: </w:t>
            </w:r>
          </w:p>
        </w:tc>
        <w:tc>
          <w:tcPr>
            <w:tcW w:w="5172" w:type="dxa"/>
            <w:gridSpan w:val="2"/>
            <w:vMerge w:val="restart"/>
            <w:tcBorders>
              <w:top w:val="single" w:sz="3" w:space="0" w:color="000000"/>
              <w:left w:val="single" w:sz="3" w:space="0" w:color="000000"/>
              <w:bottom w:val="single" w:sz="3" w:space="0" w:color="000000"/>
              <w:right w:val="nil"/>
            </w:tcBorders>
          </w:tcPr>
          <w:p w14:paraId="22B9C807" w14:textId="77777777" w:rsidR="007E13DE" w:rsidRDefault="007E13DE"/>
        </w:tc>
      </w:tr>
      <w:tr w:rsidR="007E13DE" w14:paraId="7235C024"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1F06AE7F" w14:textId="77777777" w:rsidR="007E13DE" w:rsidRDefault="00000000">
            <w:pPr>
              <w:spacing w:after="11"/>
              <w:ind w:left="737"/>
            </w:pPr>
            <w:r>
              <w:rPr>
                <w:rFonts w:ascii="Times New Roman" w:eastAsia="Times New Roman" w:hAnsi="Times New Roman" w:cs="Times New Roman"/>
                <w:color w:val="FF0000"/>
                <w:sz w:val="8"/>
              </w:rPr>
              <w:t xml:space="preserve">GPA: Valor aportado, em reais (R$), referente à reserva do sistema de transmissão durante a vigência do PARECER DE </w:t>
            </w:r>
          </w:p>
          <w:p w14:paraId="5E611281" w14:textId="77777777" w:rsidR="007E13DE" w:rsidRDefault="00000000">
            <w:pPr>
              <w:spacing w:after="0"/>
              <w:ind w:left="737"/>
            </w:pPr>
            <w:r>
              <w:rPr>
                <w:rFonts w:ascii="Times New Roman" w:eastAsia="Times New Roman" w:hAnsi="Times New Roman" w:cs="Times New Roman"/>
                <w:color w:val="FF0000"/>
                <w:sz w:val="8"/>
              </w:rPr>
              <w:t xml:space="preserve">ACESSO; </w:t>
            </w:r>
          </w:p>
        </w:tc>
        <w:tc>
          <w:tcPr>
            <w:tcW w:w="0" w:type="auto"/>
            <w:gridSpan w:val="2"/>
            <w:vMerge/>
            <w:tcBorders>
              <w:top w:val="nil"/>
              <w:left w:val="single" w:sz="3" w:space="0" w:color="000000"/>
              <w:bottom w:val="nil"/>
              <w:right w:val="nil"/>
            </w:tcBorders>
          </w:tcPr>
          <w:p w14:paraId="4D0FCCEF" w14:textId="77777777" w:rsidR="007E13DE" w:rsidRDefault="007E13DE"/>
        </w:tc>
      </w:tr>
      <w:tr w:rsidR="007E13DE" w14:paraId="2BA08B27"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131924AF" w14:textId="77777777" w:rsidR="007E13DE" w:rsidRDefault="00000000">
            <w:pPr>
              <w:spacing w:after="0"/>
              <w:ind w:left="737"/>
            </w:pPr>
            <w:r>
              <w:rPr>
                <w:rFonts w:ascii="Times New Roman" w:eastAsia="Times New Roman" w:hAnsi="Times New Roman" w:cs="Times New Roman"/>
                <w:color w:val="FF0000"/>
                <w:sz w:val="8"/>
              </w:rPr>
              <w:t>Maior Montante de Uso Solicitado na Ponta: Valor máximo do MUST ou MUSD dentre os solicitados pelo USUÁRIO e os indicados no estudo de mínimo custo global que motivou a emissão da Portaria do MME, em MW e referente ao posto tarifário de ponta;</w:t>
            </w:r>
          </w:p>
        </w:tc>
        <w:tc>
          <w:tcPr>
            <w:tcW w:w="0" w:type="auto"/>
            <w:gridSpan w:val="2"/>
            <w:vMerge/>
            <w:tcBorders>
              <w:top w:val="nil"/>
              <w:left w:val="single" w:sz="3" w:space="0" w:color="000000"/>
              <w:bottom w:val="nil"/>
              <w:right w:val="nil"/>
            </w:tcBorders>
          </w:tcPr>
          <w:p w14:paraId="46A10DF0" w14:textId="77777777" w:rsidR="007E13DE" w:rsidRDefault="007E13DE"/>
        </w:tc>
      </w:tr>
      <w:tr w:rsidR="007E13DE" w14:paraId="656318C7"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49071E46" w14:textId="77777777" w:rsidR="007E13DE" w:rsidRDefault="00000000">
            <w:pPr>
              <w:spacing w:after="0"/>
              <w:ind w:left="737"/>
            </w:pPr>
            <w:r>
              <w:rPr>
                <w:rFonts w:ascii="Times New Roman" w:eastAsia="Times New Roman" w:hAnsi="Times New Roman" w:cs="Times New Roman"/>
                <w:color w:val="FF0000"/>
                <w:sz w:val="8"/>
              </w:rPr>
              <w:t xml:space="preserve">Maior Montante de Uso Solicitado Fora de Ponta: Valor máximo do MUST ou MUSD dentre os solicitados pelo USUÁRIO e os indicados no estudo de mínimo custo global que motivou a emissão da Portaria do MME, em MW e referente ao posto tarifário fora de ponta; </w:t>
            </w:r>
          </w:p>
        </w:tc>
        <w:tc>
          <w:tcPr>
            <w:tcW w:w="0" w:type="auto"/>
            <w:gridSpan w:val="2"/>
            <w:vMerge/>
            <w:tcBorders>
              <w:top w:val="nil"/>
              <w:left w:val="single" w:sz="3" w:space="0" w:color="000000"/>
              <w:bottom w:val="nil"/>
              <w:right w:val="nil"/>
            </w:tcBorders>
          </w:tcPr>
          <w:p w14:paraId="31214BBB" w14:textId="77777777" w:rsidR="007E13DE" w:rsidRDefault="007E13DE"/>
        </w:tc>
      </w:tr>
      <w:tr w:rsidR="007E13DE" w14:paraId="5E80753F"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25BA6DF3" w14:textId="77777777" w:rsidR="007E13DE" w:rsidRDefault="00000000">
            <w:pPr>
              <w:spacing w:after="0"/>
              <w:ind w:left="737"/>
            </w:pPr>
            <w:r>
              <w:rPr>
                <w:rFonts w:ascii="Times New Roman" w:eastAsia="Times New Roman" w:hAnsi="Times New Roman" w:cs="Times New Roman"/>
                <w:color w:val="FF0000"/>
                <w:sz w:val="8"/>
              </w:rPr>
              <w:t>Tarifa de Uso na Ponta: TUST, em R$/</w:t>
            </w:r>
            <w:proofErr w:type="spellStart"/>
            <w:proofErr w:type="gramStart"/>
            <w:r>
              <w:rPr>
                <w:rFonts w:ascii="Times New Roman" w:eastAsia="Times New Roman" w:hAnsi="Times New Roman" w:cs="Times New Roman"/>
                <w:color w:val="FF0000"/>
                <w:sz w:val="8"/>
              </w:rPr>
              <w:t>MW.mês</w:t>
            </w:r>
            <w:proofErr w:type="spellEnd"/>
            <w:proofErr w:type="gramEnd"/>
            <w:r>
              <w:rPr>
                <w:rFonts w:ascii="Times New Roman" w:eastAsia="Times New Roman" w:hAnsi="Times New Roman" w:cs="Times New Roman"/>
                <w:color w:val="FF0000"/>
                <w:sz w:val="8"/>
              </w:rPr>
              <w:t>, estabelecida para o ponto de conexão solicitado, no posto tarifário de ponta. Caso o ponto de conexão não tenha TUST estabelecida, incluindo os casos em que se celebra CUSD, deve ser utilizada a TUST do ponto de conexão com a REDE BÁSICA eletricamente mais próximo, no posto tarifário de ponta.</w:t>
            </w:r>
          </w:p>
        </w:tc>
        <w:tc>
          <w:tcPr>
            <w:tcW w:w="0" w:type="auto"/>
            <w:gridSpan w:val="2"/>
            <w:vMerge/>
            <w:tcBorders>
              <w:top w:val="nil"/>
              <w:left w:val="single" w:sz="3" w:space="0" w:color="000000"/>
              <w:bottom w:val="nil"/>
              <w:right w:val="nil"/>
            </w:tcBorders>
          </w:tcPr>
          <w:p w14:paraId="7C18CD14" w14:textId="77777777" w:rsidR="007E13DE" w:rsidRDefault="007E13DE"/>
        </w:tc>
      </w:tr>
      <w:tr w:rsidR="007E13DE" w14:paraId="69E3DD39"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011ECAD5" w14:textId="77777777" w:rsidR="007E13DE" w:rsidRDefault="00000000">
            <w:pPr>
              <w:spacing w:after="0"/>
              <w:ind w:left="737"/>
            </w:pPr>
            <w:r>
              <w:rPr>
                <w:rFonts w:ascii="Times New Roman" w:eastAsia="Times New Roman" w:hAnsi="Times New Roman" w:cs="Times New Roman"/>
                <w:color w:val="FF0000"/>
                <w:sz w:val="8"/>
              </w:rPr>
              <w:t>Tarifa de Uso Fora de Ponta: TUST, em R$/</w:t>
            </w:r>
            <w:proofErr w:type="spellStart"/>
            <w:proofErr w:type="gramStart"/>
            <w:r>
              <w:rPr>
                <w:rFonts w:ascii="Times New Roman" w:eastAsia="Times New Roman" w:hAnsi="Times New Roman" w:cs="Times New Roman"/>
                <w:color w:val="FF0000"/>
                <w:sz w:val="8"/>
              </w:rPr>
              <w:t>MW.mês</w:t>
            </w:r>
            <w:proofErr w:type="spellEnd"/>
            <w:proofErr w:type="gramEnd"/>
            <w:r>
              <w:rPr>
                <w:rFonts w:ascii="Times New Roman" w:eastAsia="Times New Roman" w:hAnsi="Times New Roman" w:cs="Times New Roman"/>
                <w:color w:val="FF0000"/>
                <w:sz w:val="8"/>
              </w:rPr>
              <w:t>, estabelecida para o ponto de conexão solicitado, no posto tarifário fora de ponta. Caso o ponto de conexão não tenha TUST estabelecida, incluindo os casos em que se celebra CUSD, deve ser utilizada a TUST do ponto de conexão com a REDE BÁSICA eletricamente mais próximo, no posto tarifário fora de ponta.</w:t>
            </w:r>
          </w:p>
        </w:tc>
        <w:tc>
          <w:tcPr>
            <w:tcW w:w="0" w:type="auto"/>
            <w:gridSpan w:val="2"/>
            <w:vMerge/>
            <w:tcBorders>
              <w:top w:val="nil"/>
              <w:left w:val="single" w:sz="3" w:space="0" w:color="000000"/>
              <w:bottom w:val="single" w:sz="3" w:space="0" w:color="000000"/>
              <w:right w:val="nil"/>
            </w:tcBorders>
          </w:tcPr>
          <w:p w14:paraId="1557F1CC" w14:textId="77777777" w:rsidR="007E13DE" w:rsidRDefault="007E13DE"/>
        </w:tc>
      </w:tr>
      <w:tr w:rsidR="007E13DE" w14:paraId="1B23EDBD"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65AACF4D" w14:textId="77777777" w:rsidR="007E13DE" w:rsidRDefault="00000000">
            <w:pPr>
              <w:spacing w:after="0"/>
              <w:ind w:left="2"/>
            </w:pPr>
            <w:r>
              <w:rPr>
                <w:rFonts w:ascii="Times New Roman" w:eastAsia="Times New Roman" w:hAnsi="Times New Roman" w:cs="Times New Roman"/>
                <w:color w:val="FF0000"/>
                <w:sz w:val="8"/>
              </w:rPr>
              <w:t xml:space="preserve">2.13.4 A garantia financeira exigida para a solicitação de acesso, com contratação de novo PONTO DE CONEXÃO, deverá ser devolvida após a apresentação das garantias associadas à celebração do CUST pelo requisitante ao acesso ou quando o ONS declarar no PARECER DE ACESSO a inviabilidade técnica para a solicitação. </w:t>
            </w:r>
          </w:p>
        </w:tc>
        <w:tc>
          <w:tcPr>
            <w:tcW w:w="1205" w:type="dxa"/>
            <w:tcBorders>
              <w:top w:val="single" w:sz="3" w:space="0" w:color="000000"/>
              <w:left w:val="single" w:sz="3" w:space="0" w:color="000000"/>
              <w:bottom w:val="single" w:sz="3" w:space="0" w:color="000000"/>
              <w:right w:val="single" w:sz="3" w:space="0" w:color="000000"/>
            </w:tcBorders>
            <w:vAlign w:val="center"/>
          </w:tcPr>
          <w:p w14:paraId="64DF9B3B"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7153139A"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280A0BAC" w14:textId="77777777">
        <w:trPr>
          <w:trHeight w:val="326"/>
        </w:trPr>
        <w:tc>
          <w:tcPr>
            <w:tcW w:w="5162" w:type="dxa"/>
            <w:tcBorders>
              <w:top w:val="single" w:sz="3" w:space="0" w:color="000000"/>
              <w:left w:val="single" w:sz="3" w:space="0" w:color="000000"/>
              <w:bottom w:val="single" w:sz="3" w:space="0" w:color="000000"/>
              <w:right w:val="single" w:sz="3" w:space="0" w:color="000000"/>
            </w:tcBorders>
          </w:tcPr>
          <w:p w14:paraId="4C6429A0" w14:textId="77777777" w:rsidR="007E13DE" w:rsidRDefault="00000000">
            <w:pPr>
              <w:spacing w:after="0"/>
              <w:ind w:left="2"/>
            </w:pPr>
            <w:r>
              <w:rPr>
                <w:rFonts w:ascii="Times New Roman" w:eastAsia="Times New Roman" w:hAnsi="Times New Roman" w:cs="Times New Roman"/>
                <w:color w:val="FF0000"/>
                <w:sz w:val="8"/>
              </w:rPr>
              <w:t xml:space="preserve">2.13.5 A garantia financeira exigida para a solicitação de acesso, com contratação de novo PONTO DE CONEXÃO, poderá ser devolvida mediante solicitação do requisitante ao acesso em até 5 dias úteis a partir da disponibilização do PARECER DE ACESSO em sistema do ONS. </w:t>
            </w:r>
          </w:p>
        </w:tc>
        <w:tc>
          <w:tcPr>
            <w:tcW w:w="1205" w:type="dxa"/>
            <w:tcBorders>
              <w:top w:val="single" w:sz="3" w:space="0" w:color="000000"/>
              <w:left w:val="single" w:sz="3" w:space="0" w:color="000000"/>
              <w:bottom w:val="single" w:sz="3" w:space="0" w:color="000000"/>
              <w:right w:val="single" w:sz="3" w:space="0" w:color="000000"/>
            </w:tcBorders>
            <w:vAlign w:val="center"/>
          </w:tcPr>
          <w:p w14:paraId="399DC148"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740CBF0B"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3CD51983"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246E96EF" w14:textId="77777777" w:rsidR="007E13DE" w:rsidRDefault="00000000">
            <w:pPr>
              <w:spacing w:after="0"/>
              <w:ind w:left="2"/>
            </w:pPr>
            <w:r>
              <w:rPr>
                <w:rFonts w:ascii="Times New Roman" w:eastAsia="Times New Roman" w:hAnsi="Times New Roman" w:cs="Times New Roman"/>
                <w:color w:val="FF0000"/>
                <w:sz w:val="8"/>
              </w:rPr>
              <w:t xml:space="preserve">2.13.6 Caso o PARECER DE ACESSO indique a existência de restrições que inviabilizem a demanda de potência dos CONSUMIDORES de modo integral ou parcial em condição normal de operação, o requisitante pode optar por manter vigente a garantia financeira aportada na solicitação de acesso, com contratação de novo PONTO DE CONEXÃO, de modo a ter prioridade em eventual liberação de margem de escoamento que ocorra enquanto a garantia estiver em vigência. </w:t>
            </w:r>
          </w:p>
        </w:tc>
        <w:tc>
          <w:tcPr>
            <w:tcW w:w="1205" w:type="dxa"/>
            <w:tcBorders>
              <w:top w:val="single" w:sz="3" w:space="0" w:color="000000"/>
              <w:left w:val="single" w:sz="3" w:space="0" w:color="000000"/>
              <w:bottom w:val="single" w:sz="3" w:space="0" w:color="000000"/>
              <w:right w:val="single" w:sz="3" w:space="0" w:color="000000"/>
            </w:tcBorders>
            <w:vAlign w:val="center"/>
          </w:tcPr>
          <w:p w14:paraId="41A1134F"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5B6E9849"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17D234D4"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56408D22" w14:textId="77777777" w:rsidR="007E13DE" w:rsidRDefault="00000000">
            <w:pPr>
              <w:spacing w:after="0"/>
              <w:ind w:left="2"/>
            </w:pPr>
            <w:r>
              <w:rPr>
                <w:rFonts w:ascii="Times New Roman" w:eastAsia="Times New Roman" w:hAnsi="Times New Roman" w:cs="Times New Roman"/>
                <w:color w:val="FF0000"/>
                <w:sz w:val="8"/>
              </w:rPr>
              <w:lastRenderedPageBreak/>
              <w:t xml:space="preserve">2.13.6.1 A opção de manter vigente a garantia financeira aportada no PARECER DE ACESSO não garante que haverá liberação de margem de escoamento para o ponto de conexão afetado e ocorre por conta e risco do requisitante ao acesso. </w:t>
            </w:r>
          </w:p>
        </w:tc>
        <w:tc>
          <w:tcPr>
            <w:tcW w:w="1205" w:type="dxa"/>
            <w:tcBorders>
              <w:top w:val="single" w:sz="3" w:space="0" w:color="000000"/>
              <w:left w:val="single" w:sz="3" w:space="0" w:color="000000"/>
              <w:bottom w:val="single" w:sz="3" w:space="0" w:color="000000"/>
              <w:right w:val="single" w:sz="3" w:space="0" w:color="000000"/>
            </w:tcBorders>
          </w:tcPr>
          <w:p w14:paraId="05732354"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2D1EF60E"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4821FF8E"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6417644" w14:textId="77777777" w:rsidR="007E13DE" w:rsidRDefault="00000000">
            <w:pPr>
              <w:spacing w:after="0"/>
              <w:ind w:left="2"/>
            </w:pPr>
            <w:r>
              <w:rPr>
                <w:rFonts w:ascii="Times New Roman" w:eastAsia="Times New Roman" w:hAnsi="Times New Roman" w:cs="Times New Roman"/>
                <w:color w:val="FF0000"/>
                <w:sz w:val="8"/>
              </w:rPr>
              <w:t xml:space="preserve">2.13.7 Os valores de garantia aportados e não devolvidos tem o ONS como beneficiário, e, para fins de compensação, devem ser anualmente declarados e considerados na avaliação do orçamento do ONS. </w:t>
            </w:r>
          </w:p>
        </w:tc>
        <w:tc>
          <w:tcPr>
            <w:tcW w:w="1205" w:type="dxa"/>
            <w:tcBorders>
              <w:top w:val="single" w:sz="3" w:space="0" w:color="000000"/>
              <w:left w:val="single" w:sz="3" w:space="0" w:color="000000"/>
              <w:bottom w:val="single" w:sz="3" w:space="0" w:color="000000"/>
              <w:right w:val="single" w:sz="3" w:space="0" w:color="000000"/>
            </w:tcBorders>
          </w:tcPr>
          <w:p w14:paraId="4862F2F5"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70F7C58"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13B4891B"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5B55BE48" w14:textId="77777777" w:rsidR="007E13DE" w:rsidRDefault="00000000">
            <w:pPr>
              <w:spacing w:after="0"/>
              <w:ind w:left="2"/>
            </w:pPr>
            <w:r>
              <w:rPr>
                <w:rFonts w:ascii="Times New Roman" w:eastAsia="Times New Roman" w:hAnsi="Times New Roman" w:cs="Times New Roman"/>
                <w:color w:val="FF0000"/>
                <w:sz w:val="8"/>
              </w:rPr>
              <w:t>2.14 O CCT deverá ser celebrado em até 90 (noventa) dias após emissão do PARECER DE ACESSO pelo ONS, sendo a sua eficácia associada à celebração do CUST ou CUSD.</w:t>
            </w:r>
          </w:p>
        </w:tc>
        <w:tc>
          <w:tcPr>
            <w:tcW w:w="1205" w:type="dxa"/>
            <w:tcBorders>
              <w:top w:val="single" w:sz="3" w:space="0" w:color="000000"/>
              <w:left w:val="single" w:sz="3" w:space="0" w:color="000000"/>
              <w:bottom w:val="single" w:sz="3" w:space="0" w:color="000000"/>
              <w:right w:val="single" w:sz="3" w:space="0" w:color="000000"/>
            </w:tcBorders>
          </w:tcPr>
          <w:p w14:paraId="0371A5E1"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39F5546C"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01189A6"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0FFC8A6F" w14:textId="77777777" w:rsidR="007E13DE" w:rsidRDefault="00000000">
            <w:pPr>
              <w:spacing w:after="0"/>
              <w:ind w:left="2"/>
            </w:pPr>
            <w:r>
              <w:rPr>
                <w:rFonts w:ascii="Times New Roman" w:eastAsia="Times New Roman" w:hAnsi="Times New Roman" w:cs="Times New Roman"/>
                <w:sz w:val="8"/>
              </w:rPr>
              <w:t>4 CONTRATAÇÃO DE USO</w:t>
            </w:r>
          </w:p>
        </w:tc>
        <w:tc>
          <w:tcPr>
            <w:tcW w:w="1205" w:type="dxa"/>
            <w:tcBorders>
              <w:top w:val="single" w:sz="3" w:space="0" w:color="000000"/>
              <w:left w:val="single" w:sz="3" w:space="0" w:color="000000"/>
              <w:bottom w:val="single" w:sz="3" w:space="0" w:color="000000"/>
              <w:right w:val="single" w:sz="3" w:space="0" w:color="000000"/>
            </w:tcBorders>
          </w:tcPr>
          <w:p w14:paraId="66576B96"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42C73A3A"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65483BD9"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6BDAA98D" w14:textId="77777777" w:rsidR="007E13DE" w:rsidRDefault="00000000">
            <w:pPr>
              <w:spacing w:after="0"/>
              <w:ind w:left="2"/>
            </w:pPr>
            <w:r>
              <w:rPr>
                <w:rFonts w:ascii="Times New Roman" w:eastAsia="Times New Roman" w:hAnsi="Times New Roman" w:cs="Times New Roman"/>
                <w:color w:val="FF0000"/>
                <w:sz w:val="8"/>
              </w:rPr>
              <w:t>4.1.3 O pagamento dos EUST é devido a partir da data de início de execução estabelecida nos CUST e independe da demanda de potência ou conexão dos USUÁRIOS.</w:t>
            </w:r>
          </w:p>
        </w:tc>
        <w:tc>
          <w:tcPr>
            <w:tcW w:w="1205" w:type="dxa"/>
            <w:tcBorders>
              <w:top w:val="single" w:sz="3" w:space="0" w:color="000000"/>
              <w:left w:val="single" w:sz="3" w:space="0" w:color="000000"/>
              <w:bottom w:val="single" w:sz="3" w:space="0" w:color="000000"/>
              <w:right w:val="single" w:sz="3" w:space="0" w:color="000000"/>
            </w:tcBorders>
          </w:tcPr>
          <w:p w14:paraId="3EA776FD"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398CAFFC"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7BC5BFA" w14:textId="77777777">
        <w:trPr>
          <w:trHeight w:val="542"/>
        </w:trPr>
        <w:tc>
          <w:tcPr>
            <w:tcW w:w="5162" w:type="dxa"/>
            <w:tcBorders>
              <w:top w:val="single" w:sz="3" w:space="0" w:color="000000"/>
              <w:left w:val="single" w:sz="3" w:space="0" w:color="000000"/>
              <w:bottom w:val="single" w:sz="3" w:space="0" w:color="000000"/>
              <w:right w:val="single" w:sz="3" w:space="0" w:color="000000"/>
            </w:tcBorders>
          </w:tcPr>
          <w:p w14:paraId="1F2CE3DA" w14:textId="77777777" w:rsidR="007E13DE" w:rsidRDefault="00000000">
            <w:pPr>
              <w:spacing w:after="0"/>
              <w:ind w:left="2"/>
            </w:pPr>
            <w:r>
              <w:rPr>
                <w:rFonts w:ascii="Times New Roman" w:eastAsia="Times New Roman" w:hAnsi="Times New Roman" w:cs="Times New Roman"/>
                <w:color w:val="FF0000"/>
                <w:sz w:val="8"/>
              </w:rPr>
              <w:t xml:space="preserve">4.3 A celebração de CUST ou de termo aditivo ao CUST que inclua novo PONTO DE CONEXÃO deverá ser precedida da apresentação de garantias financeiras por parte dos USUÁRIOS, no valor mínimo equivalente aos EUST referentes a 3 (três) anos, calculados </w:t>
            </w:r>
            <w:proofErr w:type="spellStart"/>
            <w:r>
              <w:rPr>
                <w:rFonts w:ascii="Times New Roman" w:eastAsia="Times New Roman" w:hAnsi="Times New Roman" w:cs="Times New Roman"/>
                <w:color w:val="FF0000"/>
                <w:sz w:val="8"/>
              </w:rPr>
              <w:t>multiplicandose</w:t>
            </w:r>
            <w:proofErr w:type="spellEnd"/>
            <w:r>
              <w:rPr>
                <w:rFonts w:ascii="Times New Roman" w:eastAsia="Times New Roman" w:hAnsi="Times New Roman" w:cs="Times New Roman"/>
                <w:color w:val="FF0000"/>
                <w:sz w:val="8"/>
              </w:rPr>
              <w:t xml:space="preserve"> a TUST vigente e o maior MUST dentre os previstos no PARECER DE ACESSO e os indicados no estudo de mínimo custo global que motivou a emissão da Portaria do MME, para cada PONTO DE CONEXÃO e por horário de contratação. </w:t>
            </w:r>
          </w:p>
        </w:tc>
        <w:tc>
          <w:tcPr>
            <w:tcW w:w="1205" w:type="dxa"/>
            <w:tcBorders>
              <w:top w:val="single" w:sz="3" w:space="0" w:color="000000"/>
              <w:left w:val="single" w:sz="3" w:space="0" w:color="000000"/>
              <w:bottom w:val="single" w:sz="3" w:space="0" w:color="000000"/>
              <w:right w:val="single" w:sz="3" w:space="0" w:color="000000"/>
            </w:tcBorders>
            <w:vAlign w:val="center"/>
          </w:tcPr>
          <w:p w14:paraId="182DEAE1"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3498748F"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683AD17E" w14:textId="77777777">
        <w:trPr>
          <w:trHeight w:val="434"/>
        </w:trPr>
        <w:tc>
          <w:tcPr>
            <w:tcW w:w="5162" w:type="dxa"/>
            <w:tcBorders>
              <w:top w:val="single" w:sz="3" w:space="0" w:color="000000"/>
              <w:left w:val="single" w:sz="3" w:space="0" w:color="000000"/>
              <w:bottom w:val="single" w:sz="3" w:space="0" w:color="000000"/>
              <w:right w:val="single" w:sz="3" w:space="0" w:color="000000"/>
            </w:tcBorders>
          </w:tcPr>
          <w:p w14:paraId="70217157" w14:textId="77777777" w:rsidR="007E13DE" w:rsidRDefault="00000000">
            <w:pPr>
              <w:spacing w:after="0"/>
              <w:ind w:left="2" w:right="16"/>
            </w:pPr>
            <w:r>
              <w:rPr>
                <w:rFonts w:ascii="Times New Roman" w:eastAsia="Times New Roman" w:hAnsi="Times New Roman" w:cs="Times New Roman"/>
                <w:color w:val="FF0000"/>
                <w:sz w:val="8"/>
              </w:rPr>
              <w:t xml:space="preserve">4.3.1 As garantias financeiras associadas à celebração dos CUST serão devolvidas ao ACESSANTE após a energização de suas instalações atendendo a todos os requisitos previstos nos PROCEDIMENTOS DE REDE para operação em caráter definitivo e a contratação do maior MUST previsto no estudo de mínimo custo global que motivou a emissão da Portaria do MME. </w:t>
            </w:r>
          </w:p>
        </w:tc>
        <w:tc>
          <w:tcPr>
            <w:tcW w:w="1205" w:type="dxa"/>
            <w:tcBorders>
              <w:top w:val="single" w:sz="3" w:space="0" w:color="000000"/>
              <w:left w:val="single" w:sz="3" w:space="0" w:color="000000"/>
              <w:bottom w:val="single" w:sz="3" w:space="0" w:color="000000"/>
              <w:right w:val="single" w:sz="3" w:space="0" w:color="000000"/>
            </w:tcBorders>
            <w:vAlign w:val="center"/>
          </w:tcPr>
          <w:p w14:paraId="4E06098C"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58A90BE9"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01F21CF0"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3383C589" w14:textId="77777777" w:rsidR="007E13DE" w:rsidRDefault="00000000">
            <w:pPr>
              <w:spacing w:after="0"/>
              <w:ind w:left="2"/>
            </w:pPr>
            <w:r>
              <w:rPr>
                <w:rFonts w:ascii="Times New Roman" w:eastAsia="Times New Roman" w:hAnsi="Times New Roman" w:cs="Times New Roman"/>
                <w:color w:val="FF0000"/>
                <w:sz w:val="8"/>
              </w:rPr>
              <w:t xml:space="preserve">4.4 A data de início de contratação do MUST prevista no CUST originalmente celebrado não poderá ser posterior à data prevista no estudo de mínimo custo global que motivou a emissão da Portaria do MME. </w:t>
            </w:r>
          </w:p>
        </w:tc>
        <w:tc>
          <w:tcPr>
            <w:tcW w:w="1205" w:type="dxa"/>
            <w:tcBorders>
              <w:top w:val="single" w:sz="3" w:space="0" w:color="000000"/>
              <w:left w:val="single" w:sz="3" w:space="0" w:color="000000"/>
              <w:bottom w:val="single" w:sz="3" w:space="0" w:color="000000"/>
              <w:right w:val="single" w:sz="3" w:space="0" w:color="000000"/>
            </w:tcBorders>
          </w:tcPr>
          <w:p w14:paraId="613DEEC9"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1FFE82F1"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95AA9E6"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404CDE4E" w14:textId="77777777" w:rsidR="007E13DE" w:rsidRDefault="00000000">
            <w:pPr>
              <w:spacing w:after="0"/>
              <w:ind w:left="2"/>
            </w:pPr>
            <w:r>
              <w:rPr>
                <w:rFonts w:ascii="Times New Roman" w:eastAsia="Times New Roman" w:hAnsi="Times New Roman" w:cs="Times New Roman"/>
                <w:color w:val="FF0000"/>
                <w:sz w:val="8"/>
              </w:rPr>
              <w:t>4.4.1 A data de início de contratação do MUST definida na celebração do primeiro instrumento contratual somente poderá ser postergada uma única vez e por até 12 meses, mediante o pagamento de encargo mensal associado.</w:t>
            </w:r>
          </w:p>
        </w:tc>
        <w:tc>
          <w:tcPr>
            <w:tcW w:w="1205" w:type="dxa"/>
            <w:tcBorders>
              <w:top w:val="single" w:sz="3" w:space="0" w:color="000000"/>
              <w:left w:val="single" w:sz="3" w:space="0" w:color="000000"/>
              <w:bottom w:val="single" w:sz="3" w:space="0" w:color="000000"/>
              <w:right w:val="single" w:sz="3" w:space="0" w:color="000000"/>
            </w:tcBorders>
          </w:tcPr>
          <w:p w14:paraId="5FF93C3D"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7788E233"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23A9B1FD"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0634C1A3" w14:textId="77777777" w:rsidR="007E13DE" w:rsidRDefault="00000000">
            <w:pPr>
              <w:spacing w:after="0"/>
              <w:ind w:left="2"/>
            </w:pPr>
            <w:r>
              <w:rPr>
                <w:rFonts w:ascii="Times New Roman" w:eastAsia="Times New Roman" w:hAnsi="Times New Roman" w:cs="Times New Roman"/>
                <w:color w:val="FF0000"/>
                <w:sz w:val="8"/>
              </w:rPr>
              <w:t>4.4.2 O encargo mensal associado à postergação da data de início de contratação do MUST será apurado pelo ONS e faturado pelas TRANSMISSORAS, devendo ser calculado conforme Eq.9:</w:t>
            </w:r>
          </w:p>
        </w:tc>
        <w:tc>
          <w:tcPr>
            <w:tcW w:w="1205" w:type="dxa"/>
            <w:tcBorders>
              <w:top w:val="single" w:sz="3" w:space="0" w:color="000000"/>
              <w:left w:val="single" w:sz="3" w:space="0" w:color="000000"/>
              <w:bottom w:val="single" w:sz="3" w:space="0" w:color="000000"/>
              <w:right w:val="single" w:sz="3" w:space="0" w:color="000000"/>
            </w:tcBorders>
          </w:tcPr>
          <w:p w14:paraId="30F53EF7"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tcPr>
          <w:p w14:paraId="4B7D5EC6"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7B3BA127" w14:textId="77777777">
        <w:trPr>
          <w:trHeight w:val="569"/>
        </w:trPr>
        <w:tc>
          <w:tcPr>
            <w:tcW w:w="5162" w:type="dxa"/>
            <w:tcBorders>
              <w:top w:val="single" w:sz="3" w:space="0" w:color="000000"/>
              <w:left w:val="single" w:sz="3" w:space="0" w:color="000000"/>
              <w:bottom w:val="single" w:sz="3" w:space="0" w:color="000000"/>
              <w:right w:val="single" w:sz="3" w:space="0" w:color="000000"/>
            </w:tcBorders>
          </w:tcPr>
          <w:p w14:paraId="401E0B81" w14:textId="77777777" w:rsidR="007E13DE" w:rsidRDefault="00000000">
            <w:pPr>
              <w:spacing w:after="0"/>
              <w:ind w:left="1452"/>
            </w:pPr>
            <w:r>
              <w:rPr>
                <w:noProof/>
              </w:rPr>
              <w:drawing>
                <wp:inline distT="0" distB="0" distL="0" distR="0" wp14:anchorId="351A85BD" wp14:editId="558980F2">
                  <wp:extent cx="1444752" cy="236220"/>
                  <wp:effectExtent l="0" t="0" r="0" b="0"/>
                  <wp:docPr id="2227" name="Picture 2227"/>
                  <wp:cNvGraphicFramePr/>
                  <a:graphic xmlns:a="http://schemas.openxmlformats.org/drawingml/2006/main">
                    <a:graphicData uri="http://schemas.openxmlformats.org/drawingml/2006/picture">
                      <pic:pic xmlns:pic="http://schemas.openxmlformats.org/drawingml/2006/picture">
                        <pic:nvPicPr>
                          <pic:cNvPr id="2227" name="Picture 2227"/>
                          <pic:cNvPicPr/>
                        </pic:nvPicPr>
                        <pic:blipFill>
                          <a:blip r:embed="rId14"/>
                          <a:stretch>
                            <a:fillRect/>
                          </a:stretch>
                        </pic:blipFill>
                        <pic:spPr>
                          <a:xfrm>
                            <a:off x="0" y="0"/>
                            <a:ext cx="1444752" cy="236220"/>
                          </a:xfrm>
                          <a:prstGeom prst="rect">
                            <a:avLst/>
                          </a:prstGeom>
                        </pic:spPr>
                      </pic:pic>
                    </a:graphicData>
                  </a:graphic>
                </wp:inline>
              </w:drawing>
            </w:r>
          </w:p>
        </w:tc>
        <w:tc>
          <w:tcPr>
            <w:tcW w:w="1205" w:type="dxa"/>
            <w:tcBorders>
              <w:top w:val="single" w:sz="3" w:space="0" w:color="000000"/>
              <w:left w:val="single" w:sz="3" w:space="0" w:color="000000"/>
              <w:bottom w:val="single" w:sz="3" w:space="0" w:color="000000"/>
              <w:right w:val="single" w:sz="3" w:space="0" w:color="000000"/>
            </w:tcBorders>
            <w:vAlign w:val="center"/>
          </w:tcPr>
          <w:p w14:paraId="5BAC3079"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77CC7F46"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4501D3D6"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39A257C5" w14:textId="77777777" w:rsidR="007E13DE" w:rsidRDefault="00000000">
            <w:pPr>
              <w:spacing w:after="0"/>
              <w:ind w:left="370"/>
            </w:pPr>
            <w:r>
              <w:rPr>
                <w:rFonts w:ascii="Times New Roman" w:eastAsia="Times New Roman" w:hAnsi="Times New Roman" w:cs="Times New Roman"/>
                <w:color w:val="FF0000"/>
                <w:sz w:val="8"/>
              </w:rPr>
              <w:t xml:space="preserve">Onde: </w:t>
            </w:r>
          </w:p>
        </w:tc>
        <w:tc>
          <w:tcPr>
            <w:tcW w:w="5172" w:type="dxa"/>
            <w:gridSpan w:val="2"/>
            <w:vMerge w:val="restart"/>
            <w:tcBorders>
              <w:top w:val="single" w:sz="3" w:space="0" w:color="000000"/>
              <w:left w:val="single" w:sz="3" w:space="0" w:color="000000"/>
              <w:bottom w:val="single" w:sz="3" w:space="0" w:color="000000"/>
              <w:right w:val="nil"/>
            </w:tcBorders>
          </w:tcPr>
          <w:p w14:paraId="240DEB1F" w14:textId="77777777" w:rsidR="007E13DE" w:rsidRDefault="007E13DE"/>
        </w:tc>
      </w:tr>
      <w:tr w:rsidR="007E13DE" w14:paraId="2851F655"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72288ED5" w14:textId="77777777" w:rsidR="007E13DE" w:rsidRDefault="00000000">
            <w:pPr>
              <w:spacing w:after="0"/>
              <w:ind w:left="370" w:right="5"/>
            </w:pPr>
            <w:proofErr w:type="spellStart"/>
            <w:proofErr w:type="gramStart"/>
            <w:r>
              <w:rPr>
                <w:rFonts w:ascii="Times New Roman" w:eastAsia="Times New Roman" w:hAnsi="Times New Roman" w:cs="Times New Roman"/>
                <w:color w:val="FF0000"/>
                <w:sz w:val="8"/>
              </w:rPr>
              <w:t>Epst,N</w:t>
            </w:r>
            <w:proofErr w:type="spellEnd"/>
            <w:proofErr w:type="gramEnd"/>
            <w:r>
              <w:rPr>
                <w:rFonts w:ascii="Times New Roman" w:eastAsia="Times New Roman" w:hAnsi="Times New Roman" w:cs="Times New Roman"/>
                <w:color w:val="FF0000"/>
                <w:sz w:val="8"/>
              </w:rPr>
              <w:t xml:space="preserve">: Valor mensal, em reais (R$), referente ao encargo de reserva da rede de transmissão durante o período de postergação do início de execução do CUST, no mês N; </w:t>
            </w:r>
          </w:p>
        </w:tc>
        <w:tc>
          <w:tcPr>
            <w:tcW w:w="0" w:type="auto"/>
            <w:gridSpan w:val="2"/>
            <w:vMerge/>
            <w:tcBorders>
              <w:top w:val="nil"/>
              <w:left w:val="single" w:sz="3" w:space="0" w:color="000000"/>
              <w:bottom w:val="nil"/>
              <w:right w:val="nil"/>
            </w:tcBorders>
          </w:tcPr>
          <w:p w14:paraId="18FC7645" w14:textId="77777777" w:rsidR="007E13DE" w:rsidRDefault="007E13DE"/>
        </w:tc>
      </w:tr>
      <w:tr w:rsidR="007E13DE" w14:paraId="2ADE03B3" w14:textId="77777777">
        <w:trPr>
          <w:trHeight w:val="108"/>
        </w:trPr>
        <w:tc>
          <w:tcPr>
            <w:tcW w:w="5162" w:type="dxa"/>
            <w:tcBorders>
              <w:top w:val="single" w:sz="3" w:space="0" w:color="000000"/>
              <w:left w:val="single" w:sz="3" w:space="0" w:color="000000"/>
              <w:bottom w:val="single" w:sz="3" w:space="0" w:color="000000"/>
              <w:right w:val="single" w:sz="3" w:space="0" w:color="000000"/>
            </w:tcBorders>
          </w:tcPr>
          <w:p w14:paraId="6B63D65F" w14:textId="77777777" w:rsidR="007E13DE" w:rsidRDefault="00000000">
            <w:pPr>
              <w:spacing w:after="0"/>
              <w:ind w:right="87"/>
              <w:jc w:val="center"/>
            </w:pPr>
            <w:r>
              <w:rPr>
                <w:rFonts w:ascii="Times New Roman" w:eastAsia="Times New Roman" w:hAnsi="Times New Roman" w:cs="Times New Roman"/>
                <w:color w:val="FF0000"/>
                <w:sz w:val="8"/>
              </w:rPr>
              <w:t xml:space="preserve">N: Número de meses completos contados a partir da aprovação do pedido de postergação do início de execução do CUST;  </w:t>
            </w:r>
          </w:p>
        </w:tc>
        <w:tc>
          <w:tcPr>
            <w:tcW w:w="0" w:type="auto"/>
            <w:gridSpan w:val="2"/>
            <w:vMerge/>
            <w:tcBorders>
              <w:top w:val="nil"/>
              <w:left w:val="single" w:sz="3" w:space="0" w:color="000000"/>
              <w:bottom w:val="nil"/>
              <w:right w:val="nil"/>
            </w:tcBorders>
          </w:tcPr>
          <w:p w14:paraId="7023DCE4" w14:textId="77777777" w:rsidR="007E13DE" w:rsidRDefault="007E13DE"/>
        </w:tc>
      </w:tr>
      <w:tr w:rsidR="007E13DE" w14:paraId="25778456" w14:textId="77777777">
        <w:trPr>
          <w:trHeight w:val="216"/>
        </w:trPr>
        <w:tc>
          <w:tcPr>
            <w:tcW w:w="5162" w:type="dxa"/>
            <w:tcBorders>
              <w:top w:val="single" w:sz="3" w:space="0" w:color="000000"/>
              <w:left w:val="single" w:sz="3" w:space="0" w:color="000000"/>
              <w:bottom w:val="single" w:sz="3" w:space="0" w:color="000000"/>
              <w:right w:val="single" w:sz="3" w:space="0" w:color="000000"/>
            </w:tcBorders>
          </w:tcPr>
          <w:p w14:paraId="2240C105" w14:textId="77777777" w:rsidR="007E13DE" w:rsidRDefault="00000000">
            <w:pPr>
              <w:spacing w:after="0"/>
              <w:ind w:left="370"/>
            </w:pPr>
            <w:r>
              <w:rPr>
                <w:rFonts w:ascii="Times New Roman" w:eastAsia="Times New Roman" w:hAnsi="Times New Roman" w:cs="Times New Roman"/>
                <w:color w:val="FF0000"/>
                <w:sz w:val="8"/>
              </w:rPr>
              <w:t>EUST: Encargo de Uso do Sistema de Transmissão estimado para o empreendimento tendo como referência a data de início de contratação do MUST prevista no CUST originalmente contratado.</w:t>
            </w:r>
          </w:p>
        </w:tc>
        <w:tc>
          <w:tcPr>
            <w:tcW w:w="0" w:type="auto"/>
            <w:gridSpan w:val="2"/>
            <w:vMerge/>
            <w:tcBorders>
              <w:top w:val="nil"/>
              <w:left w:val="single" w:sz="3" w:space="0" w:color="000000"/>
              <w:bottom w:val="single" w:sz="3" w:space="0" w:color="000000"/>
              <w:right w:val="nil"/>
            </w:tcBorders>
          </w:tcPr>
          <w:p w14:paraId="2939B23D" w14:textId="77777777" w:rsidR="007E13DE" w:rsidRDefault="007E13DE"/>
        </w:tc>
      </w:tr>
      <w:tr w:rsidR="007E13DE" w14:paraId="088EE2EE" w14:textId="77777777">
        <w:trPr>
          <w:trHeight w:val="761"/>
        </w:trPr>
        <w:tc>
          <w:tcPr>
            <w:tcW w:w="5162" w:type="dxa"/>
            <w:tcBorders>
              <w:top w:val="single" w:sz="3" w:space="0" w:color="000000"/>
              <w:left w:val="single" w:sz="3" w:space="0" w:color="000000"/>
              <w:bottom w:val="single" w:sz="3" w:space="0" w:color="000000"/>
              <w:right w:val="single" w:sz="3" w:space="0" w:color="000000"/>
            </w:tcBorders>
          </w:tcPr>
          <w:p w14:paraId="751C973A" w14:textId="77777777" w:rsidR="007E13DE" w:rsidRDefault="00000000">
            <w:pPr>
              <w:spacing w:after="0"/>
              <w:ind w:left="2"/>
            </w:pPr>
            <w:r>
              <w:rPr>
                <w:rFonts w:ascii="Times New Roman" w:eastAsia="Times New Roman" w:hAnsi="Times New Roman" w:cs="Times New Roman"/>
                <w:color w:val="FF0000"/>
                <w:sz w:val="8"/>
              </w:rPr>
              <w:t>4.5.7 Em caso de descontratação de um PONTO DE CONEXÃO antes da energização de suas instalações atendendo a todos requisitos previstos nos PROCEDIMENTOS DE REDE para operação em caráter definitivo e da contratação do maior MUST previsto no estudo de mínimo custo global que motivou a emissão da Portaria do MME, será devido o valor equivalente aos EUST referentes a 3 (três) anos, calculados multiplicando-se a TUST vigente no momento da celebração do CUST e o maior MUST dentre os previstos no PARECER DE ACESSO e os indicados no estudo de mínimo custo global que motivou a emissão da Portaria do MME, por horário de contratação, sendo que a liquidação ocorrerá na primeira apuração mensal de serviços e encargos subsequente.</w:t>
            </w:r>
          </w:p>
        </w:tc>
        <w:tc>
          <w:tcPr>
            <w:tcW w:w="1205" w:type="dxa"/>
            <w:tcBorders>
              <w:top w:val="single" w:sz="3" w:space="0" w:color="000000"/>
              <w:left w:val="single" w:sz="3" w:space="0" w:color="000000"/>
              <w:bottom w:val="single" w:sz="3" w:space="0" w:color="000000"/>
              <w:right w:val="single" w:sz="3" w:space="0" w:color="000000"/>
            </w:tcBorders>
            <w:vAlign w:val="center"/>
          </w:tcPr>
          <w:p w14:paraId="64E290EB"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62DE6328"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7BC2761"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6CA47F6D" w14:textId="77777777" w:rsidR="007E13DE" w:rsidRDefault="00000000">
            <w:pPr>
              <w:spacing w:after="0"/>
              <w:ind w:left="2"/>
            </w:pPr>
            <w:r>
              <w:rPr>
                <w:rFonts w:ascii="Times New Roman" w:eastAsia="Times New Roman" w:hAnsi="Times New Roman" w:cs="Times New Roman"/>
                <w:sz w:val="8"/>
              </w:rPr>
              <w:t xml:space="preserve">4.5.8 Em caso de descontratação de um PONTO DE CONEXÃO </w:t>
            </w:r>
            <w:r>
              <w:rPr>
                <w:rFonts w:ascii="Times New Roman" w:eastAsia="Times New Roman" w:hAnsi="Times New Roman" w:cs="Times New Roman"/>
                <w:color w:val="FF0000"/>
                <w:sz w:val="8"/>
              </w:rPr>
              <w:t>após a energização das instalações atendendo a todos os requisitos previstos nos PROCEDIMENTOS DE REDE para operação em caráter definitivo e da contratação do maior MUST previsto no estudo de mínimo custo global que motivou a emissão da Portaria do MME</w:t>
            </w:r>
            <w:r>
              <w:rPr>
                <w:rFonts w:ascii="Times New Roman" w:eastAsia="Times New Roman" w:hAnsi="Times New Roman" w:cs="Times New Roman"/>
                <w:sz w:val="8"/>
              </w:rPr>
              <w:t>, os EUST devidos serão calculados multiplicando-se a TUST vigente no mês subsequente à descontratação e os MUST descontratados, por horário de contratação, até o fim do período de contratação, sendo que a liquidação ocorrerá na primeira apuração mensal de serviços e encargos subsequente.</w:t>
            </w:r>
          </w:p>
        </w:tc>
        <w:tc>
          <w:tcPr>
            <w:tcW w:w="1205" w:type="dxa"/>
            <w:tcBorders>
              <w:top w:val="single" w:sz="3" w:space="0" w:color="000000"/>
              <w:left w:val="single" w:sz="3" w:space="0" w:color="000000"/>
              <w:bottom w:val="single" w:sz="3" w:space="0" w:color="000000"/>
              <w:right w:val="single" w:sz="3" w:space="0" w:color="000000"/>
            </w:tcBorders>
            <w:vAlign w:val="center"/>
          </w:tcPr>
          <w:p w14:paraId="7DB976EC"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4F144587"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55FDFD96"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683F9E2F" w14:textId="77777777" w:rsidR="007E13DE" w:rsidRDefault="00000000">
            <w:pPr>
              <w:spacing w:after="0"/>
              <w:ind w:left="2"/>
            </w:pPr>
            <w:r>
              <w:rPr>
                <w:rFonts w:ascii="Times New Roman" w:eastAsia="Times New Roman" w:hAnsi="Times New Roman" w:cs="Times New Roman"/>
                <w:color w:val="FF0000"/>
                <w:sz w:val="8"/>
              </w:rPr>
              <w:t xml:space="preserve">4.5.9 Em caso de rescisão do CUST antes da energização das instalações atendendo a todos os requisitos previstos nos PROCEDIMENTOS DE REDE para operação em caráter definitivo e da contratação do maior MUST previsto no estudo de mínimo custo global que motivou a emissão da Portaria do MME, será devido o valor equivalente aos EUST referentes a 3 (três) anos, calculados multiplicando-se a TUST vigente no momento da celebração do CUST e o maior MUST dentre os previstos no PARECER DE ACESSO e os indicados no estudo de mínimo custo global que motivou a emissão da Portaria do MME, por horário de contratação, sendo que a liquidação ocorrerá na primeira apuração mensal de serviços e encargos subsequente. </w:t>
            </w:r>
          </w:p>
        </w:tc>
        <w:tc>
          <w:tcPr>
            <w:tcW w:w="1205" w:type="dxa"/>
            <w:tcBorders>
              <w:top w:val="single" w:sz="3" w:space="0" w:color="000000"/>
              <w:left w:val="single" w:sz="3" w:space="0" w:color="000000"/>
              <w:bottom w:val="single" w:sz="3" w:space="0" w:color="000000"/>
              <w:right w:val="single" w:sz="3" w:space="0" w:color="000000"/>
            </w:tcBorders>
            <w:vAlign w:val="center"/>
          </w:tcPr>
          <w:p w14:paraId="6BA46B21"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DAECD12"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r w:rsidR="007E13DE" w14:paraId="4C293B84" w14:textId="77777777">
        <w:trPr>
          <w:trHeight w:val="653"/>
        </w:trPr>
        <w:tc>
          <w:tcPr>
            <w:tcW w:w="5162" w:type="dxa"/>
            <w:tcBorders>
              <w:top w:val="single" w:sz="3" w:space="0" w:color="000000"/>
              <w:left w:val="single" w:sz="3" w:space="0" w:color="000000"/>
              <w:bottom w:val="single" w:sz="3" w:space="0" w:color="000000"/>
              <w:right w:val="single" w:sz="3" w:space="0" w:color="000000"/>
            </w:tcBorders>
          </w:tcPr>
          <w:p w14:paraId="0BF6395D" w14:textId="77777777" w:rsidR="007E13DE" w:rsidRDefault="00000000">
            <w:pPr>
              <w:spacing w:after="0"/>
              <w:ind w:left="2"/>
            </w:pPr>
            <w:r>
              <w:rPr>
                <w:rFonts w:ascii="Times New Roman" w:eastAsia="Times New Roman" w:hAnsi="Times New Roman" w:cs="Times New Roman"/>
                <w:sz w:val="8"/>
              </w:rPr>
              <w:t xml:space="preserve">4.5.10 Em caso de rescisão do CUST </w:t>
            </w:r>
            <w:r>
              <w:rPr>
                <w:rFonts w:ascii="Times New Roman" w:eastAsia="Times New Roman" w:hAnsi="Times New Roman" w:cs="Times New Roman"/>
                <w:color w:val="FF0000"/>
                <w:sz w:val="8"/>
              </w:rPr>
              <w:t xml:space="preserve">após a energização das instalações atendendo a todos os requisitos previstos nos PROCEDIMENTOS DE REDE para operação em caráter definitivo e da contratação do maior MUST previsto no estudo de mínimo custo global que motivou a emissão da Portaria do MME, </w:t>
            </w:r>
            <w:r>
              <w:rPr>
                <w:rFonts w:ascii="Times New Roman" w:eastAsia="Times New Roman" w:hAnsi="Times New Roman" w:cs="Times New Roman"/>
                <w:sz w:val="8"/>
              </w:rPr>
              <w:t>os EUST devidos serão calculados, por PONTO DE CONEXÃO, multiplicando-se a TUST vigente no mês subsequente à rescisão e os MUST rescindidos, por horário de contratação, até o fim do período de contratação, sendo que a liquidação ocorrerá na primeira apuração mensal de serviços e encargos subsequente.</w:t>
            </w:r>
          </w:p>
        </w:tc>
        <w:tc>
          <w:tcPr>
            <w:tcW w:w="1205" w:type="dxa"/>
            <w:tcBorders>
              <w:top w:val="single" w:sz="3" w:space="0" w:color="000000"/>
              <w:left w:val="single" w:sz="3" w:space="0" w:color="000000"/>
              <w:bottom w:val="single" w:sz="3" w:space="0" w:color="000000"/>
              <w:right w:val="single" w:sz="3" w:space="0" w:color="000000"/>
            </w:tcBorders>
            <w:vAlign w:val="center"/>
          </w:tcPr>
          <w:p w14:paraId="00035E69" w14:textId="77777777" w:rsidR="007E13DE" w:rsidRDefault="00000000">
            <w:pPr>
              <w:spacing w:after="0"/>
              <w:ind w:left="2"/>
            </w:pPr>
            <w:r>
              <w:rPr>
                <w:rFonts w:ascii="Times New Roman" w:eastAsia="Times New Roman" w:hAnsi="Times New Roman" w:cs="Times New Roman"/>
                <w:sz w:val="8"/>
              </w:rPr>
              <w:t>Comentário.</w:t>
            </w:r>
          </w:p>
        </w:tc>
        <w:tc>
          <w:tcPr>
            <w:tcW w:w="3967" w:type="dxa"/>
            <w:tcBorders>
              <w:top w:val="single" w:sz="3" w:space="0" w:color="000000"/>
              <w:left w:val="single" w:sz="3" w:space="0" w:color="000000"/>
              <w:bottom w:val="single" w:sz="3" w:space="0" w:color="000000"/>
              <w:right w:val="single" w:sz="3" w:space="0" w:color="000000"/>
            </w:tcBorders>
            <w:vAlign w:val="center"/>
          </w:tcPr>
          <w:p w14:paraId="1C498969" w14:textId="77777777" w:rsidR="007E13DE" w:rsidRDefault="00000000">
            <w:pPr>
              <w:spacing w:after="0"/>
              <w:ind w:left="2"/>
            </w:pPr>
            <w:r>
              <w:rPr>
                <w:rFonts w:ascii="Times New Roman" w:eastAsia="Times New Roman" w:hAnsi="Times New Roman" w:cs="Times New Roman"/>
                <w:sz w:val="8"/>
              </w:rPr>
              <w:t>Concordamos com a recomendação proposta pela ANEEL.</w:t>
            </w:r>
          </w:p>
        </w:tc>
      </w:tr>
    </w:tbl>
    <w:p w14:paraId="64DD0B5C" w14:textId="77777777" w:rsidR="007E13DE" w:rsidRDefault="007E13DE">
      <w:pPr>
        <w:sectPr w:rsidR="007E13DE">
          <w:headerReference w:type="even" r:id="rId15"/>
          <w:headerReference w:type="default" r:id="rId16"/>
          <w:headerReference w:type="first" r:id="rId17"/>
          <w:pgSz w:w="11906" w:h="16838"/>
          <w:pgMar w:top="1146" w:right="1440" w:bottom="1170" w:left="1440" w:header="720" w:footer="720" w:gutter="0"/>
          <w:cols w:space="720"/>
        </w:sectPr>
      </w:pPr>
    </w:p>
    <w:p w14:paraId="0F09A6D6"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00520E21" w14:textId="77777777" w:rsidR="007E13DE" w:rsidRDefault="00000000">
      <w:pPr>
        <w:spacing w:after="10"/>
        <w:ind w:left="-672"/>
        <w:jc w:val="both"/>
      </w:pPr>
      <w:r>
        <w:rPr>
          <w:rFonts w:ascii="Times New Roman" w:eastAsia="Times New Roman" w:hAnsi="Times New Roman" w:cs="Times New Roman"/>
          <w:sz w:val="7"/>
        </w:rPr>
        <w:t xml:space="preserve"> </w:t>
      </w:r>
    </w:p>
    <w:p w14:paraId="66F4A5CF" w14:textId="77777777" w:rsidR="007E13DE" w:rsidRDefault="00000000">
      <w:pPr>
        <w:spacing w:after="10"/>
        <w:ind w:left="-672"/>
        <w:jc w:val="both"/>
      </w:pPr>
      <w:r>
        <w:rPr>
          <w:rFonts w:ascii="Times New Roman" w:eastAsia="Times New Roman" w:hAnsi="Times New Roman" w:cs="Times New Roman"/>
          <w:sz w:val="7"/>
        </w:rPr>
        <w:t xml:space="preserve"> </w:t>
      </w:r>
    </w:p>
    <w:p w14:paraId="5289DB47" w14:textId="77777777" w:rsidR="007E13DE" w:rsidRDefault="00000000">
      <w:pPr>
        <w:spacing w:after="10"/>
        <w:ind w:left="-672"/>
        <w:jc w:val="both"/>
      </w:pPr>
      <w:r>
        <w:rPr>
          <w:rFonts w:ascii="Times New Roman" w:eastAsia="Times New Roman" w:hAnsi="Times New Roman" w:cs="Times New Roman"/>
          <w:sz w:val="7"/>
        </w:rPr>
        <w:t xml:space="preserve"> </w:t>
      </w:r>
    </w:p>
    <w:p w14:paraId="0DAE1C4C" w14:textId="77777777" w:rsidR="007E13DE" w:rsidRDefault="00000000">
      <w:pPr>
        <w:spacing w:after="10"/>
        <w:ind w:left="-672"/>
        <w:jc w:val="both"/>
      </w:pPr>
      <w:r>
        <w:rPr>
          <w:rFonts w:ascii="Times New Roman" w:eastAsia="Times New Roman" w:hAnsi="Times New Roman" w:cs="Times New Roman"/>
          <w:sz w:val="7"/>
        </w:rPr>
        <w:t xml:space="preserve"> </w:t>
      </w:r>
    </w:p>
    <w:p w14:paraId="6B80397E" w14:textId="77777777" w:rsidR="007E13DE" w:rsidRDefault="00000000">
      <w:pPr>
        <w:spacing w:after="10"/>
        <w:ind w:left="-672"/>
        <w:jc w:val="both"/>
      </w:pPr>
      <w:r>
        <w:rPr>
          <w:rFonts w:ascii="Times New Roman" w:eastAsia="Times New Roman" w:hAnsi="Times New Roman" w:cs="Times New Roman"/>
          <w:sz w:val="7"/>
        </w:rPr>
        <w:t xml:space="preserve"> </w:t>
      </w:r>
    </w:p>
    <w:p w14:paraId="312A8538" w14:textId="77777777" w:rsidR="007E13DE" w:rsidRDefault="00000000">
      <w:pPr>
        <w:spacing w:after="10"/>
        <w:ind w:left="-672"/>
        <w:jc w:val="both"/>
      </w:pPr>
      <w:r>
        <w:rPr>
          <w:rFonts w:ascii="Times New Roman" w:eastAsia="Times New Roman" w:hAnsi="Times New Roman" w:cs="Times New Roman"/>
          <w:sz w:val="7"/>
        </w:rPr>
        <w:t xml:space="preserve"> </w:t>
      </w:r>
    </w:p>
    <w:p w14:paraId="4745854B" w14:textId="77777777" w:rsidR="007E13DE" w:rsidRDefault="00000000">
      <w:pPr>
        <w:spacing w:after="10"/>
        <w:ind w:left="-672"/>
        <w:jc w:val="both"/>
      </w:pPr>
      <w:r>
        <w:rPr>
          <w:rFonts w:ascii="Times New Roman" w:eastAsia="Times New Roman" w:hAnsi="Times New Roman" w:cs="Times New Roman"/>
          <w:sz w:val="7"/>
        </w:rPr>
        <w:t xml:space="preserve"> </w:t>
      </w:r>
    </w:p>
    <w:p w14:paraId="511760D1" w14:textId="77777777" w:rsidR="007E13DE" w:rsidRDefault="00000000">
      <w:pPr>
        <w:spacing w:after="10"/>
        <w:ind w:left="-672"/>
        <w:jc w:val="both"/>
      </w:pPr>
      <w:r>
        <w:rPr>
          <w:rFonts w:ascii="Times New Roman" w:eastAsia="Times New Roman" w:hAnsi="Times New Roman" w:cs="Times New Roman"/>
          <w:sz w:val="7"/>
        </w:rPr>
        <w:t xml:space="preserve"> </w:t>
      </w:r>
    </w:p>
    <w:p w14:paraId="08EA1236" w14:textId="77777777" w:rsidR="007E13DE" w:rsidRDefault="00000000">
      <w:pPr>
        <w:spacing w:after="10"/>
        <w:ind w:left="-672"/>
        <w:jc w:val="both"/>
      </w:pPr>
      <w:r>
        <w:rPr>
          <w:rFonts w:ascii="Times New Roman" w:eastAsia="Times New Roman" w:hAnsi="Times New Roman" w:cs="Times New Roman"/>
          <w:sz w:val="7"/>
        </w:rPr>
        <w:t xml:space="preserve"> </w:t>
      </w:r>
    </w:p>
    <w:p w14:paraId="16C964C1" w14:textId="77777777" w:rsidR="007E13DE" w:rsidRDefault="00000000">
      <w:pPr>
        <w:spacing w:after="10"/>
        <w:ind w:left="-672"/>
        <w:jc w:val="both"/>
      </w:pPr>
      <w:r>
        <w:rPr>
          <w:rFonts w:ascii="Times New Roman" w:eastAsia="Times New Roman" w:hAnsi="Times New Roman" w:cs="Times New Roman"/>
          <w:sz w:val="7"/>
        </w:rPr>
        <w:t xml:space="preserve"> </w:t>
      </w:r>
    </w:p>
    <w:p w14:paraId="472B105D" w14:textId="77777777" w:rsidR="007E13DE" w:rsidRDefault="00000000">
      <w:pPr>
        <w:spacing w:after="10"/>
        <w:ind w:left="-672"/>
        <w:jc w:val="both"/>
      </w:pPr>
      <w:r>
        <w:rPr>
          <w:rFonts w:ascii="Times New Roman" w:eastAsia="Times New Roman" w:hAnsi="Times New Roman" w:cs="Times New Roman"/>
          <w:sz w:val="7"/>
        </w:rPr>
        <w:t xml:space="preserve"> </w:t>
      </w:r>
    </w:p>
    <w:p w14:paraId="5A1F87DD" w14:textId="77777777" w:rsidR="007E13DE" w:rsidRDefault="00000000">
      <w:pPr>
        <w:spacing w:after="10"/>
        <w:ind w:left="-672"/>
        <w:jc w:val="both"/>
      </w:pPr>
      <w:r>
        <w:rPr>
          <w:rFonts w:ascii="Times New Roman" w:eastAsia="Times New Roman" w:hAnsi="Times New Roman" w:cs="Times New Roman"/>
          <w:sz w:val="7"/>
        </w:rPr>
        <w:t xml:space="preserve"> </w:t>
      </w:r>
    </w:p>
    <w:p w14:paraId="06AC1F73" w14:textId="77777777" w:rsidR="007E13DE" w:rsidRDefault="00000000">
      <w:pPr>
        <w:spacing w:after="10"/>
        <w:ind w:left="-672"/>
        <w:jc w:val="both"/>
      </w:pPr>
      <w:r>
        <w:rPr>
          <w:rFonts w:ascii="Times New Roman" w:eastAsia="Times New Roman" w:hAnsi="Times New Roman" w:cs="Times New Roman"/>
          <w:sz w:val="7"/>
        </w:rPr>
        <w:t xml:space="preserve"> </w:t>
      </w:r>
    </w:p>
    <w:p w14:paraId="143F436A" w14:textId="77777777" w:rsidR="007E13DE" w:rsidRDefault="00000000">
      <w:pPr>
        <w:spacing w:after="10"/>
        <w:ind w:left="-672"/>
        <w:jc w:val="both"/>
      </w:pPr>
      <w:r>
        <w:rPr>
          <w:rFonts w:ascii="Times New Roman" w:eastAsia="Times New Roman" w:hAnsi="Times New Roman" w:cs="Times New Roman"/>
          <w:sz w:val="7"/>
        </w:rPr>
        <w:t xml:space="preserve"> </w:t>
      </w:r>
    </w:p>
    <w:p w14:paraId="5A09FBAB" w14:textId="77777777" w:rsidR="007E13DE" w:rsidRDefault="00000000">
      <w:pPr>
        <w:spacing w:after="10"/>
        <w:ind w:left="-672"/>
        <w:jc w:val="both"/>
      </w:pPr>
      <w:r>
        <w:rPr>
          <w:rFonts w:ascii="Times New Roman" w:eastAsia="Times New Roman" w:hAnsi="Times New Roman" w:cs="Times New Roman"/>
          <w:sz w:val="7"/>
        </w:rPr>
        <w:t xml:space="preserve"> </w:t>
      </w:r>
    </w:p>
    <w:p w14:paraId="4C08B7DF" w14:textId="77777777" w:rsidR="007E13DE" w:rsidRDefault="00000000">
      <w:pPr>
        <w:spacing w:after="10"/>
        <w:ind w:left="-672"/>
        <w:jc w:val="both"/>
      </w:pPr>
      <w:r>
        <w:rPr>
          <w:rFonts w:ascii="Times New Roman" w:eastAsia="Times New Roman" w:hAnsi="Times New Roman" w:cs="Times New Roman"/>
          <w:sz w:val="7"/>
        </w:rPr>
        <w:t xml:space="preserve"> </w:t>
      </w:r>
    </w:p>
    <w:p w14:paraId="0582BD4F" w14:textId="77777777" w:rsidR="007E13DE" w:rsidRDefault="00000000">
      <w:pPr>
        <w:spacing w:after="10"/>
        <w:ind w:left="-672"/>
        <w:jc w:val="both"/>
      </w:pPr>
      <w:r>
        <w:rPr>
          <w:rFonts w:ascii="Times New Roman" w:eastAsia="Times New Roman" w:hAnsi="Times New Roman" w:cs="Times New Roman"/>
          <w:sz w:val="7"/>
        </w:rPr>
        <w:t xml:space="preserve"> </w:t>
      </w:r>
    </w:p>
    <w:p w14:paraId="03A52445" w14:textId="77777777" w:rsidR="007E13DE" w:rsidRDefault="00000000">
      <w:pPr>
        <w:spacing w:after="10"/>
        <w:ind w:left="-672"/>
        <w:jc w:val="both"/>
      </w:pPr>
      <w:r>
        <w:rPr>
          <w:rFonts w:ascii="Times New Roman" w:eastAsia="Times New Roman" w:hAnsi="Times New Roman" w:cs="Times New Roman"/>
          <w:sz w:val="7"/>
        </w:rPr>
        <w:t xml:space="preserve"> </w:t>
      </w:r>
    </w:p>
    <w:p w14:paraId="716D10C1" w14:textId="77777777" w:rsidR="007E13DE" w:rsidRDefault="00000000">
      <w:pPr>
        <w:spacing w:after="10"/>
        <w:ind w:left="-672"/>
        <w:jc w:val="both"/>
      </w:pPr>
      <w:r>
        <w:rPr>
          <w:rFonts w:ascii="Times New Roman" w:eastAsia="Times New Roman" w:hAnsi="Times New Roman" w:cs="Times New Roman"/>
          <w:sz w:val="7"/>
        </w:rPr>
        <w:t xml:space="preserve"> </w:t>
      </w:r>
    </w:p>
    <w:p w14:paraId="0028A3F8" w14:textId="77777777" w:rsidR="007E13DE" w:rsidRDefault="00000000">
      <w:pPr>
        <w:spacing w:after="10"/>
        <w:ind w:left="-672"/>
        <w:jc w:val="both"/>
      </w:pPr>
      <w:r>
        <w:rPr>
          <w:rFonts w:ascii="Times New Roman" w:eastAsia="Times New Roman" w:hAnsi="Times New Roman" w:cs="Times New Roman"/>
          <w:sz w:val="7"/>
        </w:rPr>
        <w:t xml:space="preserve"> </w:t>
      </w:r>
    </w:p>
    <w:p w14:paraId="32270B48" w14:textId="77777777" w:rsidR="007E13DE" w:rsidRDefault="00000000">
      <w:pPr>
        <w:spacing w:after="10"/>
        <w:ind w:left="-672"/>
        <w:jc w:val="both"/>
      </w:pPr>
      <w:r>
        <w:rPr>
          <w:rFonts w:ascii="Times New Roman" w:eastAsia="Times New Roman" w:hAnsi="Times New Roman" w:cs="Times New Roman"/>
          <w:sz w:val="7"/>
        </w:rPr>
        <w:t xml:space="preserve"> </w:t>
      </w:r>
    </w:p>
    <w:p w14:paraId="1EE886C0" w14:textId="77777777" w:rsidR="007E13DE" w:rsidRDefault="00000000">
      <w:pPr>
        <w:spacing w:after="10"/>
        <w:ind w:left="-672"/>
        <w:jc w:val="both"/>
      </w:pPr>
      <w:r>
        <w:rPr>
          <w:rFonts w:ascii="Times New Roman" w:eastAsia="Times New Roman" w:hAnsi="Times New Roman" w:cs="Times New Roman"/>
          <w:sz w:val="7"/>
        </w:rPr>
        <w:t xml:space="preserve"> </w:t>
      </w:r>
    </w:p>
    <w:p w14:paraId="59864173" w14:textId="77777777" w:rsidR="007E13DE" w:rsidRDefault="00000000">
      <w:pPr>
        <w:spacing w:after="10"/>
        <w:ind w:left="-672"/>
        <w:jc w:val="both"/>
      </w:pPr>
      <w:r>
        <w:rPr>
          <w:rFonts w:ascii="Times New Roman" w:eastAsia="Times New Roman" w:hAnsi="Times New Roman" w:cs="Times New Roman"/>
          <w:sz w:val="7"/>
        </w:rPr>
        <w:t xml:space="preserve"> </w:t>
      </w:r>
    </w:p>
    <w:p w14:paraId="0E89C07B" w14:textId="77777777" w:rsidR="007E13DE" w:rsidRDefault="00000000">
      <w:pPr>
        <w:spacing w:after="10"/>
        <w:ind w:left="-672"/>
        <w:jc w:val="both"/>
      </w:pPr>
      <w:r>
        <w:rPr>
          <w:rFonts w:ascii="Times New Roman" w:eastAsia="Times New Roman" w:hAnsi="Times New Roman" w:cs="Times New Roman"/>
          <w:sz w:val="7"/>
        </w:rPr>
        <w:t xml:space="preserve"> </w:t>
      </w:r>
    </w:p>
    <w:p w14:paraId="55A9F125" w14:textId="77777777" w:rsidR="007E13DE" w:rsidRDefault="00000000">
      <w:pPr>
        <w:spacing w:after="10"/>
        <w:ind w:left="-672"/>
        <w:jc w:val="both"/>
      </w:pPr>
      <w:r>
        <w:rPr>
          <w:rFonts w:ascii="Times New Roman" w:eastAsia="Times New Roman" w:hAnsi="Times New Roman" w:cs="Times New Roman"/>
          <w:sz w:val="7"/>
        </w:rPr>
        <w:t xml:space="preserve"> </w:t>
      </w:r>
    </w:p>
    <w:p w14:paraId="7394F6B3" w14:textId="77777777" w:rsidR="007E13DE" w:rsidRDefault="00000000">
      <w:pPr>
        <w:spacing w:after="10"/>
        <w:ind w:left="-672"/>
        <w:jc w:val="both"/>
      </w:pPr>
      <w:r>
        <w:rPr>
          <w:rFonts w:ascii="Times New Roman" w:eastAsia="Times New Roman" w:hAnsi="Times New Roman" w:cs="Times New Roman"/>
          <w:sz w:val="7"/>
        </w:rPr>
        <w:t xml:space="preserve"> </w:t>
      </w:r>
    </w:p>
    <w:p w14:paraId="34C91E33" w14:textId="77777777" w:rsidR="007E13DE" w:rsidRDefault="00000000">
      <w:pPr>
        <w:spacing w:after="10"/>
        <w:ind w:left="-672"/>
        <w:jc w:val="both"/>
      </w:pPr>
      <w:r>
        <w:rPr>
          <w:rFonts w:ascii="Times New Roman" w:eastAsia="Times New Roman" w:hAnsi="Times New Roman" w:cs="Times New Roman"/>
          <w:sz w:val="7"/>
        </w:rPr>
        <w:t xml:space="preserve"> </w:t>
      </w:r>
    </w:p>
    <w:p w14:paraId="22985708" w14:textId="77777777" w:rsidR="007E13DE" w:rsidRDefault="00000000">
      <w:pPr>
        <w:spacing w:after="10"/>
        <w:ind w:left="-672"/>
        <w:jc w:val="both"/>
      </w:pPr>
      <w:r>
        <w:rPr>
          <w:rFonts w:ascii="Times New Roman" w:eastAsia="Times New Roman" w:hAnsi="Times New Roman" w:cs="Times New Roman"/>
          <w:sz w:val="7"/>
        </w:rPr>
        <w:t xml:space="preserve"> </w:t>
      </w:r>
    </w:p>
    <w:p w14:paraId="494F92D7" w14:textId="77777777" w:rsidR="007E13DE" w:rsidRDefault="00000000">
      <w:pPr>
        <w:spacing w:after="10"/>
        <w:ind w:left="-672"/>
        <w:jc w:val="both"/>
      </w:pPr>
      <w:r>
        <w:rPr>
          <w:rFonts w:ascii="Times New Roman" w:eastAsia="Times New Roman" w:hAnsi="Times New Roman" w:cs="Times New Roman"/>
          <w:sz w:val="7"/>
        </w:rPr>
        <w:t xml:space="preserve"> </w:t>
      </w:r>
    </w:p>
    <w:p w14:paraId="0CC12025" w14:textId="77777777" w:rsidR="007E13DE" w:rsidRDefault="00000000">
      <w:pPr>
        <w:spacing w:after="10"/>
        <w:ind w:left="-672"/>
        <w:jc w:val="both"/>
      </w:pPr>
      <w:r>
        <w:rPr>
          <w:rFonts w:ascii="Times New Roman" w:eastAsia="Times New Roman" w:hAnsi="Times New Roman" w:cs="Times New Roman"/>
          <w:sz w:val="7"/>
        </w:rPr>
        <w:t xml:space="preserve"> </w:t>
      </w:r>
    </w:p>
    <w:p w14:paraId="67FADD57" w14:textId="77777777" w:rsidR="007E13DE" w:rsidRDefault="00000000">
      <w:pPr>
        <w:spacing w:after="10"/>
        <w:ind w:left="-672"/>
        <w:jc w:val="both"/>
      </w:pPr>
      <w:r>
        <w:rPr>
          <w:rFonts w:ascii="Times New Roman" w:eastAsia="Times New Roman" w:hAnsi="Times New Roman" w:cs="Times New Roman"/>
          <w:sz w:val="7"/>
        </w:rPr>
        <w:t xml:space="preserve"> </w:t>
      </w:r>
    </w:p>
    <w:p w14:paraId="1E0A51C3" w14:textId="77777777" w:rsidR="007E13DE" w:rsidRDefault="00000000">
      <w:pPr>
        <w:spacing w:after="10"/>
        <w:ind w:left="-672"/>
        <w:jc w:val="both"/>
      </w:pPr>
      <w:r>
        <w:rPr>
          <w:rFonts w:ascii="Times New Roman" w:eastAsia="Times New Roman" w:hAnsi="Times New Roman" w:cs="Times New Roman"/>
          <w:sz w:val="7"/>
        </w:rPr>
        <w:t xml:space="preserve"> </w:t>
      </w:r>
    </w:p>
    <w:p w14:paraId="0CEF62AF" w14:textId="77777777" w:rsidR="007E13DE" w:rsidRDefault="00000000">
      <w:pPr>
        <w:spacing w:after="10"/>
        <w:ind w:left="-672"/>
        <w:jc w:val="both"/>
      </w:pPr>
      <w:r>
        <w:rPr>
          <w:rFonts w:ascii="Times New Roman" w:eastAsia="Times New Roman" w:hAnsi="Times New Roman" w:cs="Times New Roman"/>
          <w:sz w:val="7"/>
        </w:rPr>
        <w:t xml:space="preserve"> </w:t>
      </w:r>
    </w:p>
    <w:p w14:paraId="56A999EE" w14:textId="77777777" w:rsidR="007E13DE" w:rsidRDefault="00000000">
      <w:pPr>
        <w:spacing w:after="10"/>
        <w:ind w:left="-672"/>
        <w:jc w:val="both"/>
      </w:pPr>
      <w:r>
        <w:rPr>
          <w:rFonts w:ascii="Times New Roman" w:eastAsia="Times New Roman" w:hAnsi="Times New Roman" w:cs="Times New Roman"/>
          <w:sz w:val="7"/>
        </w:rPr>
        <w:t xml:space="preserve"> </w:t>
      </w:r>
    </w:p>
    <w:p w14:paraId="43832ECE" w14:textId="77777777" w:rsidR="007E13DE" w:rsidRDefault="00000000">
      <w:pPr>
        <w:spacing w:after="10"/>
        <w:ind w:left="-672"/>
        <w:jc w:val="both"/>
      </w:pPr>
      <w:r>
        <w:rPr>
          <w:rFonts w:ascii="Times New Roman" w:eastAsia="Times New Roman" w:hAnsi="Times New Roman" w:cs="Times New Roman"/>
          <w:sz w:val="7"/>
        </w:rPr>
        <w:t xml:space="preserve"> </w:t>
      </w:r>
    </w:p>
    <w:p w14:paraId="1AA76B88" w14:textId="77777777" w:rsidR="007E13DE" w:rsidRDefault="00000000">
      <w:pPr>
        <w:spacing w:after="10"/>
        <w:ind w:left="-672"/>
        <w:jc w:val="both"/>
      </w:pPr>
      <w:r>
        <w:rPr>
          <w:rFonts w:ascii="Times New Roman" w:eastAsia="Times New Roman" w:hAnsi="Times New Roman" w:cs="Times New Roman"/>
          <w:sz w:val="7"/>
        </w:rPr>
        <w:t xml:space="preserve"> </w:t>
      </w:r>
    </w:p>
    <w:p w14:paraId="23D4F9F4" w14:textId="77777777" w:rsidR="007E13DE" w:rsidRDefault="00000000">
      <w:pPr>
        <w:spacing w:after="10"/>
        <w:ind w:left="-672"/>
        <w:jc w:val="both"/>
      </w:pPr>
      <w:r>
        <w:rPr>
          <w:rFonts w:ascii="Times New Roman" w:eastAsia="Times New Roman" w:hAnsi="Times New Roman" w:cs="Times New Roman"/>
          <w:sz w:val="7"/>
        </w:rPr>
        <w:t xml:space="preserve"> </w:t>
      </w:r>
    </w:p>
    <w:p w14:paraId="3C85CC4C" w14:textId="77777777" w:rsidR="007E13DE" w:rsidRDefault="00000000">
      <w:pPr>
        <w:spacing w:after="10"/>
        <w:ind w:left="-672"/>
        <w:jc w:val="both"/>
      </w:pPr>
      <w:r>
        <w:rPr>
          <w:rFonts w:ascii="Times New Roman" w:eastAsia="Times New Roman" w:hAnsi="Times New Roman" w:cs="Times New Roman"/>
          <w:sz w:val="7"/>
        </w:rPr>
        <w:t xml:space="preserve"> </w:t>
      </w:r>
    </w:p>
    <w:p w14:paraId="73FB6476" w14:textId="77777777" w:rsidR="007E13DE" w:rsidRDefault="00000000">
      <w:pPr>
        <w:spacing w:after="10"/>
        <w:ind w:left="-672"/>
        <w:jc w:val="both"/>
      </w:pPr>
      <w:r>
        <w:rPr>
          <w:rFonts w:ascii="Times New Roman" w:eastAsia="Times New Roman" w:hAnsi="Times New Roman" w:cs="Times New Roman"/>
          <w:sz w:val="7"/>
        </w:rPr>
        <w:t xml:space="preserve"> </w:t>
      </w:r>
    </w:p>
    <w:p w14:paraId="0E49EF71" w14:textId="77777777" w:rsidR="007E13DE" w:rsidRDefault="00000000">
      <w:pPr>
        <w:spacing w:after="10"/>
        <w:ind w:left="-672"/>
        <w:jc w:val="both"/>
      </w:pPr>
      <w:r>
        <w:rPr>
          <w:rFonts w:ascii="Times New Roman" w:eastAsia="Times New Roman" w:hAnsi="Times New Roman" w:cs="Times New Roman"/>
          <w:sz w:val="7"/>
        </w:rPr>
        <w:t xml:space="preserve"> </w:t>
      </w:r>
    </w:p>
    <w:p w14:paraId="45737D2B" w14:textId="77777777" w:rsidR="007E13DE" w:rsidRDefault="00000000">
      <w:pPr>
        <w:spacing w:after="10"/>
        <w:ind w:left="-672"/>
        <w:jc w:val="both"/>
      </w:pPr>
      <w:r>
        <w:rPr>
          <w:rFonts w:ascii="Times New Roman" w:eastAsia="Times New Roman" w:hAnsi="Times New Roman" w:cs="Times New Roman"/>
          <w:sz w:val="7"/>
        </w:rPr>
        <w:t xml:space="preserve"> </w:t>
      </w:r>
    </w:p>
    <w:p w14:paraId="7A95C085" w14:textId="77777777" w:rsidR="007E13DE" w:rsidRDefault="00000000">
      <w:pPr>
        <w:spacing w:after="10"/>
        <w:ind w:left="-672"/>
        <w:jc w:val="both"/>
      </w:pPr>
      <w:r>
        <w:rPr>
          <w:rFonts w:ascii="Times New Roman" w:eastAsia="Times New Roman" w:hAnsi="Times New Roman" w:cs="Times New Roman"/>
          <w:sz w:val="7"/>
        </w:rPr>
        <w:t xml:space="preserve"> </w:t>
      </w:r>
    </w:p>
    <w:p w14:paraId="5E07AFB7" w14:textId="77777777" w:rsidR="007E13DE" w:rsidRDefault="00000000">
      <w:pPr>
        <w:spacing w:after="10"/>
        <w:ind w:left="-672"/>
        <w:jc w:val="both"/>
      </w:pPr>
      <w:r>
        <w:rPr>
          <w:rFonts w:ascii="Times New Roman" w:eastAsia="Times New Roman" w:hAnsi="Times New Roman" w:cs="Times New Roman"/>
          <w:sz w:val="7"/>
        </w:rPr>
        <w:t xml:space="preserve"> </w:t>
      </w:r>
    </w:p>
    <w:p w14:paraId="67ECF3FE" w14:textId="77777777" w:rsidR="007E13DE" w:rsidRDefault="00000000">
      <w:pPr>
        <w:spacing w:after="10"/>
        <w:ind w:left="-672"/>
        <w:jc w:val="both"/>
      </w:pPr>
      <w:r>
        <w:rPr>
          <w:rFonts w:ascii="Times New Roman" w:eastAsia="Times New Roman" w:hAnsi="Times New Roman" w:cs="Times New Roman"/>
          <w:sz w:val="7"/>
        </w:rPr>
        <w:t xml:space="preserve"> </w:t>
      </w:r>
    </w:p>
    <w:p w14:paraId="0859426D" w14:textId="77777777" w:rsidR="007E13DE" w:rsidRDefault="00000000">
      <w:pPr>
        <w:spacing w:after="10"/>
        <w:ind w:left="-672"/>
        <w:jc w:val="both"/>
      </w:pPr>
      <w:r>
        <w:rPr>
          <w:rFonts w:ascii="Times New Roman" w:eastAsia="Times New Roman" w:hAnsi="Times New Roman" w:cs="Times New Roman"/>
          <w:sz w:val="7"/>
        </w:rPr>
        <w:t xml:space="preserve"> </w:t>
      </w:r>
    </w:p>
    <w:p w14:paraId="6355F955"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744B1262" w14:textId="77777777" w:rsidR="007E13DE" w:rsidRDefault="00000000">
      <w:pPr>
        <w:spacing w:after="10"/>
        <w:ind w:left="-672"/>
        <w:jc w:val="both"/>
      </w:pPr>
      <w:r>
        <w:rPr>
          <w:rFonts w:ascii="Times New Roman" w:eastAsia="Times New Roman" w:hAnsi="Times New Roman" w:cs="Times New Roman"/>
          <w:sz w:val="7"/>
        </w:rPr>
        <w:t xml:space="preserve"> </w:t>
      </w:r>
    </w:p>
    <w:p w14:paraId="7F0D3801" w14:textId="77777777" w:rsidR="007E13DE" w:rsidRDefault="00000000">
      <w:pPr>
        <w:spacing w:after="10"/>
        <w:ind w:left="-672"/>
        <w:jc w:val="both"/>
      </w:pPr>
      <w:r>
        <w:rPr>
          <w:rFonts w:ascii="Times New Roman" w:eastAsia="Times New Roman" w:hAnsi="Times New Roman" w:cs="Times New Roman"/>
          <w:sz w:val="7"/>
        </w:rPr>
        <w:t xml:space="preserve"> </w:t>
      </w:r>
    </w:p>
    <w:p w14:paraId="392A68B0" w14:textId="77777777" w:rsidR="007E13DE" w:rsidRDefault="00000000">
      <w:pPr>
        <w:spacing w:after="10"/>
        <w:ind w:left="-672"/>
        <w:jc w:val="both"/>
      </w:pPr>
      <w:r>
        <w:rPr>
          <w:rFonts w:ascii="Times New Roman" w:eastAsia="Times New Roman" w:hAnsi="Times New Roman" w:cs="Times New Roman"/>
          <w:sz w:val="7"/>
        </w:rPr>
        <w:t xml:space="preserve"> </w:t>
      </w:r>
    </w:p>
    <w:p w14:paraId="2AFEF830" w14:textId="77777777" w:rsidR="007E13DE" w:rsidRDefault="00000000">
      <w:pPr>
        <w:spacing w:after="10"/>
        <w:ind w:left="-672"/>
        <w:jc w:val="both"/>
      </w:pPr>
      <w:r>
        <w:rPr>
          <w:rFonts w:ascii="Times New Roman" w:eastAsia="Times New Roman" w:hAnsi="Times New Roman" w:cs="Times New Roman"/>
          <w:sz w:val="7"/>
        </w:rPr>
        <w:t xml:space="preserve"> </w:t>
      </w:r>
    </w:p>
    <w:p w14:paraId="12841186" w14:textId="77777777" w:rsidR="007E13DE" w:rsidRDefault="00000000">
      <w:pPr>
        <w:spacing w:after="10"/>
        <w:ind w:left="-672"/>
        <w:jc w:val="both"/>
      </w:pPr>
      <w:r>
        <w:rPr>
          <w:rFonts w:ascii="Times New Roman" w:eastAsia="Times New Roman" w:hAnsi="Times New Roman" w:cs="Times New Roman"/>
          <w:sz w:val="7"/>
        </w:rPr>
        <w:t xml:space="preserve"> </w:t>
      </w:r>
    </w:p>
    <w:p w14:paraId="6FA0EB1D" w14:textId="77777777" w:rsidR="007E13DE" w:rsidRDefault="00000000">
      <w:pPr>
        <w:spacing w:after="10"/>
        <w:ind w:left="-672"/>
        <w:jc w:val="both"/>
      </w:pPr>
      <w:r>
        <w:rPr>
          <w:rFonts w:ascii="Times New Roman" w:eastAsia="Times New Roman" w:hAnsi="Times New Roman" w:cs="Times New Roman"/>
          <w:sz w:val="7"/>
        </w:rPr>
        <w:t xml:space="preserve"> </w:t>
      </w:r>
    </w:p>
    <w:p w14:paraId="0B68A289" w14:textId="77777777" w:rsidR="007E13DE" w:rsidRDefault="00000000">
      <w:pPr>
        <w:spacing w:after="10"/>
        <w:ind w:left="-672"/>
        <w:jc w:val="both"/>
      </w:pPr>
      <w:r>
        <w:rPr>
          <w:rFonts w:ascii="Times New Roman" w:eastAsia="Times New Roman" w:hAnsi="Times New Roman" w:cs="Times New Roman"/>
          <w:sz w:val="7"/>
        </w:rPr>
        <w:t xml:space="preserve"> </w:t>
      </w:r>
    </w:p>
    <w:p w14:paraId="483023EE" w14:textId="77777777" w:rsidR="007E13DE" w:rsidRDefault="00000000">
      <w:pPr>
        <w:spacing w:after="10"/>
        <w:ind w:left="-672"/>
        <w:jc w:val="both"/>
      </w:pPr>
      <w:r>
        <w:rPr>
          <w:rFonts w:ascii="Times New Roman" w:eastAsia="Times New Roman" w:hAnsi="Times New Roman" w:cs="Times New Roman"/>
          <w:sz w:val="7"/>
        </w:rPr>
        <w:t xml:space="preserve"> </w:t>
      </w:r>
    </w:p>
    <w:p w14:paraId="79DF4A35" w14:textId="77777777" w:rsidR="007E13DE" w:rsidRDefault="00000000">
      <w:pPr>
        <w:spacing w:after="10"/>
        <w:ind w:left="-672"/>
        <w:jc w:val="both"/>
      </w:pPr>
      <w:r>
        <w:rPr>
          <w:rFonts w:ascii="Times New Roman" w:eastAsia="Times New Roman" w:hAnsi="Times New Roman" w:cs="Times New Roman"/>
          <w:sz w:val="7"/>
        </w:rPr>
        <w:t xml:space="preserve"> </w:t>
      </w:r>
    </w:p>
    <w:p w14:paraId="062ED0EA" w14:textId="77777777" w:rsidR="007E13DE" w:rsidRDefault="00000000">
      <w:pPr>
        <w:spacing w:after="10"/>
        <w:ind w:left="-672"/>
        <w:jc w:val="both"/>
      </w:pPr>
      <w:r>
        <w:rPr>
          <w:rFonts w:ascii="Times New Roman" w:eastAsia="Times New Roman" w:hAnsi="Times New Roman" w:cs="Times New Roman"/>
          <w:sz w:val="7"/>
        </w:rPr>
        <w:t xml:space="preserve"> </w:t>
      </w:r>
    </w:p>
    <w:p w14:paraId="4D1145A6" w14:textId="77777777" w:rsidR="007E13DE" w:rsidRDefault="00000000">
      <w:pPr>
        <w:spacing w:after="10"/>
        <w:ind w:left="-672"/>
        <w:jc w:val="both"/>
      </w:pPr>
      <w:r>
        <w:rPr>
          <w:rFonts w:ascii="Times New Roman" w:eastAsia="Times New Roman" w:hAnsi="Times New Roman" w:cs="Times New Roman"/>
          <w:sz w:val="7"/>
        </w:rPr>
        <w:t xml:space="preserve"> </w:t>
      </w:r>
    </w:p>
    <w:p w14:paraId="2AA9C454" w14:textId="77777777" w:rsidR="007E13DE" w:rsidRDefault="00000000">
      <w:pPr>
        <w:spacing w:after="10"/>
        <w:ind w:left="-672"/>
        <w:jc w:val="both"/>
      </w:pPr>
      <w:r>
        <w:rPr>
          <w:rFonts w:ascii="Times New Roman" w:eastAsia="Times New Roman" w:hAnsi="Times New Roman" w:cs="Times New Roman"/>
          <w:sz w:val="7"/>
        </w:rPr>
        <w:t xml:space="preserve"> </w:t>
      </w:r>
    </w:p>
    <w:p w14:paraId="4DDD87E2" w14:textId="77777777" w:rsidR="007E13DE" w:rsidRDefault="00000000">
      <w:pPr>
        <w:spacing w:after="10"/>
        <w:ind w:left="-672"/>
        <w:jc w:val="both"/>
      </w:pPr>
      <w:r>
        <w:rPr>
          <w:rFonts w:ascii="Times New Roman" w:eastAsia="Times New Roman" w:hAnsi="Times New Roman" w:cs="Times New Roman"/>
          <w:sz w:val="7"/>
        </w:rPr>
        <w:t xml:space="preserve"> </w:t>
      </w:r>
    </w:p>
    <w:p w14:paraId="46B2B9E0" w14:textId="77777777" w:rsidR="007E13DE" w:rsidRDefault="00000000">
      <w:pPr>
        <w:spacing w:after="10"/>
        <w:ind w:left="-672"/>
        <w:jc w:val="both"/>
      </w:pPr>
      <w:r>
        <w:rPr>
          <w:rFonts w:ascii="Times New Roman" w:eastAsia="Times New Roman" w:hAnsi="Times New Roman" w:cs="Times New Roman"/>
          <w:sz w:val="7"/>
        </w:rPr>
        <w:t xml:space="preserve"> </w:t>
      </w:r>
    </w:p>
    <w:p w14:paraId="519198DF" w14:textId="77777777" w:rsidR="007E13DE" w:rsidRDefault="00000000">
      <w:pPr>
        <w:spacing w:after="10"/>
        <w:ind w:left="-672"/>
        <w:jc w:val="both"/>
      </w:pPr>
      <w:r>
        <w:rPr>
          <w:rFonts w:ascii="Times New Roman" w:eastAsia="Times New Roman" w:hAnsi="Times New Roman" w:cs="Times New Roman"/>
          <w:sz w:val="7"/>
        </w:rPr>
        <w:t xml:space="preserve"> </w:t>
      </w:r>
    </w:p>
    <w:p w14:paraId="59A27C53" w14:textId="77777777" w:rsidR="007E13DE" w:rsidRDefault="00000000">
      <w:pPr>
        <w:spacing w:after="10"/>
        <w:ind w:left="-672"/>
        <w:jc w:val="both"/>
      </w:pPr>
      <w:r>
        <w:rPr>
          <w:rFonts w:ascii="Times New Roman" w:eastAsia="Times New Roman" w:hAnsi="Times New Roman" w:cs="Times New Roman"/>
          <w:sz w:val="7"/>
        </w:rPr>
        <w:t xml:space="preserve"> </w:t>
      </w:r>
    </w:p>
    <w:p w14:paraId="498869C6" w14:textId="77777777" w:rsidR="007E13DE" w:rsidRDefault="00000000">
      <w:pPr>
        <w:spacing w:after="10"/>
        <w:ind w:left="-672"/>
        <w:jc w:val="both"/>
      </w:pPr>
      <w:r>
        <w:rPr>
          <w:rFonts w:ascii="Times New Roman" w:eastAsia="Times New Roman" w:hAnsi="Times New Roman" w:cs="Times New Roman"/>
          <w:sz w:val="7"/>
        </w:rPr>
        <w:t xml:space="preserve"> </w:t>
      </w:r>
    </w:p>
    <w:p w14:paraId="114EA0CE" w14:textId="77777777" w:rsidR="007E13DE" w:rsidRDefault="00000000">
      <w:pPr>
        <w:spacing w:after="10"/>
        <w:ind w:left="-672"/>
        <w:jc w:val="both"/>
      </w:pPr>
      <w:r>
        <w:rPr>
          <w:rFonts w:ascii="Times New Roman" w:eastAsia="Times New Roman" w:hAnsi="Times New Roman" w:cs="Times New Roman"/>
          <w:sz w:val="7"/>
        </w:rPr>
        <w:t xml:space="preserve"> </w:t>
      </w:r>
    </w:p>
    <w:p w14:paraId="107BCA71" w14:textId="77777777" w:rsidR="007E13DE" w:rsidRDefault="00000000">
      <w:pPr>
        <w:spacing w:after="10"/>
        <w:ind w:left="-672"/>
        <w:jc w:val="both"/>
      </w:pPr>
      <w:r>
        <w:rPr>
          <w:rFonts w:ascii="Times New Roman" w:eastAsia="Times New Roman" w:hAnsi="Times New Roman" w:cs="Times New Roman"/>
          <w:sz w:val="7"/>
        </w:rPr>
        <w:t xml:space="preserve"> </w:t>
      </w:r>
    </w:p>
    <w:p w14:paraId="78120F17" w14:textId="77777777" w:rsidR="007E13DE" w:rsidRDefault="00000000">
      <w:pPr>
        <w:spacing w:after="10"/>
        <w:ind w:left="-672"/>
        <w:jc w:val="both"/>
      </w:pPr>
      <w:r>
        <w:rPr>
          <w:rFonts w:ascii="Times New Roman" w:eastAsia="Times New Roman" w:hAnsi="Times New Roman" w:cs="Times New Roman"/>
          <w:sz w:val="7"/>
        </w:rPr>
        <w:t xml:space="preserve"> </w:t>
      </w:r>
    </w:p>
    <w:p w14:paraId="67D9CE7A" w14:textId="77777777" w:rsidR="007E13DE" w:rsidRDefault="00000000">
      <w:pPr>
        <w:spacing w:after="10"/>
        <w:ind w:left="-672"/>
        <w:jc w:val="both"/>
      </w:pPr>
      <w:r>
        <w:rPr>
          <w:rFonts w:ascii="Times New Roman" w:eastAsia="Times New Roman" w:hAnsi="Times New Roman" w:cs="Times New Roman"/>
          <w:sz w:val="7"/>
        </w:rPr>
        <w:t xml:space="preserve"> </w:t>
      </w:r>
    </w:p>
    <w:p w14:paraId="29D31888" w14:textId="77777777" w:rsidR="007E13DE" w:rsidRDefault="00000000">
      <w:pPr>
        <w:spacing w:after="10"/>
        <w:ind w:left="-672"/>
        <w:jc w:val="both"/>
      </w:pPr>
      <w:r>
        <w:rPr>
          <w:rFonts w:ascii="Times New Roman" w:eastAsia="Times New Roman" w:hAnsi="Times New Roman" w:cs="Times New Roman"/>
          <w:sz w:val="7"/>
        </w:rPr>
        <w:t xml:space="preserve"> </w:t>
      </w:r>
    </w:p>
    <w:p w14:paraId="2260D6B3" w14:textId="77777777" w:rsidR="007E13DE" w:rsidRDefault="00000000">
      <w:pPr>
        <w:spacing w:after="10"/>
        <w:ind w:left="-672"/>
        <w:jc w:val="both"/>
      </w:pPr>
      <w:r>
        <w:rPr>
          <w:rFonts w:ascii="Times New Roman" w:eastAsia="Times New Roman" w:hAnsi="Times New Roman" w:cs="Times New Roman"/>
          <w:sz w:val="7"/>
        </w:rPr>
        <w:t xml:space="preserve"> </w:t>
      </w:r>
    </w:p>
    <w:p w14:paraId="78195AD4" w14:textId="77777777" w:rsidR="007E13DE" w:rsidRDefault="00000000">
      <w:pPr>
        <w:spacing w:after="10"/>
        <w:ind w:left="-672"/>
        <w:jc w:val="both"/>
      </w:pPr>
      <w:r>
        <w:rPr>
          <w:rFonts w:ascii="Times New Roman" w:eastAsia="Times New Roman" w:hAnsi="Times New Roman" w:cs="Times New Roman"/>
          <w:sz w:val="7"/>
        </w:rPr>
        <w:t xml:space="preserve"> </w:t>
      </w:r>
    </w:p>
    <w:p w14:paraId="7FBE73FE" w14:textId="77777777" w:rsidR="007E13DE" w:rsidRDefault="00000000">
      <w:pPr>
        <w:spacing w:after="10"/>
        <w:ind w:left="-672"/>
        <w:jc w:val="both"/>
      </w:pPr>
      <w:r>
        <w:rPr>
          <w:rFonts w:ascii="Times New Roman" w:eastAsia="Times New Roman" w:hAnsi="Times New Roman" w:cs="Times New Roman"/>
          <w:sz w:val="7"/>
        </w:rPr>
        <w:t xml:space="preserve"> </w:t>
      </w:r>
    </w:p>
    <w:p w14:paraId="4874D694" w14:textId="77777777" w:rsidR="007E13DE" w:rsidRDefault="00000000">
      <w:pPr>
        <w:spacing w:after="10"/>
        <w:ind w:left="-672"/>
        <w:jc w:val="both"/>
      </w:pPr>
      <w:r>
        <w:rPr>
          <w:rFonts w:ascii="Times New Roman" w:eastAsia="Times New Roman" w:hAnsi="Times New Roman" w:cs="Times New Roman"/>
          <w:sz w:val="7"/>
        </w:rPr>
        <w:t xml:space="preserve"> </w:t>
      </w:r>
    </w:p>
    <w:p w14:paraId="4558B69E" w14:textId="77777777" w:rsidR="007E13DE" w:rsidRDefault="00000000">
      <w:pPr>
        <w:spacing w:after="10"/>
        <w:ind w:left="-672"/>
        <w:jc w:val="both"/>
      </w:pPr>
      <w:r>
        <w:rPr>
          <w:rFonts w:ascii="Times New Roman" w:eastAsia="Times New Roman" w:hAnsi="Times New Roman" w:cs="Times New Roman"/>
          <w:sz w:val="7"/>
        </w:rPr>
        <w:t xml:space="preserve"> </w:t>
      </w:r>
    </w:p>
    <w:p w14:paraId="7762B6D8" w14:textId="77777777" w:rsidR="007E13DE" w:rsidRDefault="00000000">
      <w:pPr>
        <w:spacing w:after="10"/>
        <w:ind w:left="-672"/>
        <w:jc w:val="both"/>
      </w:pPr>
      <w:r>
        <w:rPr>
          <w:rFonts w:ascii="Times New Roman" w:eastAsia="Times New Roman" w:hAnsi="Times New Roman" w:cs="Times New Roman"/>
          <w:sz w:val="7"/>
        </w:rPr>
        <w:t xml:space="preserve"> </w:t>
      </w:r>
    </w:p>
    <w:p w14:paraId="210D6871" w14:textId="77777777" w:rsidR="007E13DE" w:rsidRDefault="00000000">
      <w:pPr>
        <w:spacing w:after="10"/>
        <w:ind w:left="-672"/>
        <w:jc w:val="both"/>
      </w:pPr>
      <w:r>
        <w:rPr>
          <w:rFonts w:ascii="Times New Roman" w:eastAsia="Times New Roman" w:hAnsi="Times New Roman" w:cs="Times New Roman"/>
          <w:sz w:val="7"/>
        </w:rPr>
        <w:t xml:space="preserve"> </w:t>
      </w:r>
    </w:p>
    <w:p w14:paraId="1A6C8727" w14:textId="77777777" w:rsidR="007E13DE" w:rsidRDefault="00000000">
      <w:pPr>
        <w:spacing w:after="10"/>
        <w:ind w:left="-672"/>
        <w:jc w:val="both"/>
      </w:pPr>
      <w:r>
        <w:rPr>
          <w:rFonts w:ascii="Times New Roman" w:eastAsia="Times New Roman" w:hAnsi="Times New Roman" w:cs="Times New Roman"/>
          <w:sz w:val="7"/>
        </w:rPr>
        <w:t xml:space="preserve"> </w:t>
      </w:r>
    </w:p>
    <w:p w14:paraId="50899D50" w14:textId="77777777" w:rsidR="007E13DE" w:rsidRDefault="00000000">
      <w:pPr>
        <w:spacing w:after="10"/>
        <w:ind w:left="-672"/>
        <w:jc w:val="both"/>
      </w:pPr>
      <w:r>
        <w:rPr>
          <w:rFonts w:ascii="Times New Roman" w:eastAsia="Times New Roman" w:hAnsi="Times New Roman" w:cs="Times New Roman"/>
          <w:sz w:val="7"/>
        </w:rPr>
        <w:t xml:space="preserve"> </w:t>
      </w:r>
    </w:p>
    <w:p w14:paraId="4A64DE1A" w14:textId="77777777" w:rsidR="007E13DE" w:rsidRDefault="00000000">
      <w:pPr>
        <w:spacing w:after="10"/>
        <w:ind w:left="-672"/>
        <w:jc w:val="both"/>
      </w:pPr>
      <w:r>
        <w:rPr>
          <w:rFonts w:ascii="Times New Roman" w:eastAsia="Times New Roman" w:hAnsi="Times New Roman" w:cs="Times New Roman"/>
          <w:sz w:val="7"/>
        </w:rPr>
        <w:t xml:space="preserve"> </w:t>
      </w:r>
    </w:p>
    <w:p w14:paraId="1AA975B2" w14:textId="77777777" w:rsidR="007E13DE" w:rsidRDefault="00000000">
      <w:pPr>
        <w:spacing w:after="10"/>
        <w:ind w:left="-672"/>
        <w:jc w:val="both"/>
      </w:pPr>
      <w:r>
        <w:rPr>
          <w:rFonts w:ascii="Times New Roman" w:eastAsia="Times New Roman" w:hAnsi="Times New Roman" w:cs="Times New Roman"/>
          <w:sz w:val="7"/>
        </w:rPr>
        <w:t xml:space="preserve"> </w:t>
      </w:r>
    </w:p>
    <w:p w14:paraId="7214F6DE" w14:textId="77777777" w:rsidR="007E13DE" w:rsidRDefault="00000000">
      <w:pPr>
        <w:spacing w:after="10"/>
        <w:ind w:left="-672"/>
        <w:jc w:val="both"/>
      </w:pPr>
      <w:r>
        <w:rPr>
          <w:rFonts w:ascii="Times New Roman" w:eastAsia="Times New Roman" w:hAnsi="Times New Roman" w:cs="Times New Roman"/>
          <w:sz w:val="7"/>
        </w:rPr>
        <w:t xml:space="preserve"> </w:t>
      </w:r>
    </w:p>
    <w:p w14:paraId="294F8E3F" w14:textId="77777777" w:rsidR="007E13DE" w:rsidRDefault="00000000">
      <w:pPr>
        <w:spacing w:after="10"/>
        <w:ind w:left="-672"/>
        <w:jc w:val="both"/>
      </w:pPr>
      <w:r>
        <w:rPr>
          <w:rFonts w:ascii="Times New Roman" w:eastAsia="Times New Roman" w:hAnsi="Times New Roman" w:cs="Times New Roman"/>
          <w:sz w:val="7"/>
        </w:rPr>
        <w:t xml:space="preserve"> </w:t>
      </w:r>
    </w:p>
    <w:p w14:paraId="6C10DA6E" w14:textId="77777777" w:rsidR="007E13DE" w:rsidRDefault="00000000">
      <w:pPr>
        <w:spacing w:after="10"/>
        <w:ind w:left="-672"/>
        <w:jc w:val="both"/>
      </w:pPr>
      <w:r>
        <w:rPr>
          <w:rFonts w:ascii="Times New Roman" w:eastAsia="Times New Roman" w:hAnsi="Times New Roman" w:cs="Times New Roman"/>
          <w:sz w:val="7"/>
        </w:rPr>
        <w:t xml:space="preserve"> </w:t>
      </w:r>
    </w:p>
    <w:p w14:paraId="5D989C1B" w14:textId="77777777" w:rsidR="007E13DE" w:rsidRDefault="00000000">
      <w:pPr>
        <w:spacing w:after="10"/>
        <w:ind w:left="-672"/>
        <w:jc w:val="both"/>
      </w:pPr>
      <w:r>
        <w:rPr>
          <w:rFonts w:ascii="Times New Roman" w:eastAsia="Times New Roman" w:hAnsi="Times New Roman" w:cs="Times New Roman"/>
          <w:sz w:val="7"/>
        </w:rPr>
        <w:t xml:space="preserve"> </w:t>
      </w:r>
    </w:p>
    <w:p w14:paraId="42A9923F" w14:textId="77777777" w:rsidR="007E13DE" w:rsidRDefault="00000000">
      <w:pPr>
        <w:spacing w:after="10"/>
        <w:ind w:left="-672"/>
        <w:jc w:val="both"/>
      </w:pPr>
      <w:r>
        <w:rPr>
          <w:rFonts w:ascii="Times New Roman" w:eastAsia="Times New Roman" w:hAnsi="Times New Roman" w:cs="Times New Roman"/>
          <w:sz w:val="7"/>
        </w:rPr>
        <w:t xml:space="preserve"> </w:t>
      </w:r>
    </w:p>
    <w:p w14:paraId="7E5C5DF0" w14:textId="77777777" w:rsidR="007E13DE" w:rsidRDefault="00000000">
      <w:pPr>
        <w:spacing w:after="10"/>
        <w:ind w:left="-672"/>
        <w:jc w:val="both"/>
      </w:pPr>
      <w:r>
        <w:rPr>
          <w:rFonts w:ascii="Times New Roman" w:eastAsia="Times New Roman" w:hAnsi="Times New Roman" w:cs="Times New Roman"/>
          <w:sz w:val="7"/>
        </w:rPr>
        <w:t xml:space="preserve"> </w:t>
      </w:r>
    </w:p>
    <w:p w14:paraId="388CC556" w14:textId="77777777" w:rsidR="007E13DE" w:rsidRDefault="00000000">
      <w:pPr>
        <w:spacing w:after="10"/>
        <w:ind w:left="-672"/>
        <w:jc w:val="both"/>
      </w:pPr>
      <w:r>
        <w:rPr>
          <w:rFonts w:ascii="Times New Roman" w:eastAsia="Times New Roman" w:hAnsi="Times New Roman" w:cs="Times New Roman"/>
          <w:sz w:val="7"/>
        </w:rPr>
        <w:t xml:space="preserve"> </w:t>
      </w:r>
    </w:p>
    <w:p w14:paraId="0B7B458B" w14:textId="77777777" w:rsidR="007E13DE" w:rsidRDefault="00000000">
      <w:pPr>
        <w:spacing w:after="10"/>
        <w:ind w:left="-672"/>
        <w:jc w:val="both"/>
      </w:pPr>
      <w:r>
        <w:rPr>
          <w:rFonts w:ascii="Times New Roman" w:eastAsia="Times New Roman" w:hAnsi="Times New Roman" w:cs="Times New Roman"/>
          <w:sz w:val="7"/>
        </w:rPr>
        <w:t xml:space="preserve"> </w:t>
      </w:r>
    </w:p>
    <w:p w14:paraId="13279C0C" w14:textId="77777777" w:rsidR="007E13DE" w:rsidRDefault="00000000">
      <w:pPr>
        <w:spacing w:after="10"/>
        <w:ind w:left="-672"/>
        <w:jc w:val="both"/>
      </w:pPr>
      <w:r>
        <w:rPr>
          <w:rFonts w:ascii="Times New Roman" w:eastAsia="Times New Roman" w:hAnsi="Times New Roman" w:cs="Times New Roman"/>
          <w:sz w:val="7"/>
        </w:rPr>
        <w:t xml:space="preserve"> </w:t>
      </w:r>
    </w:p>
    <w:p w14:paraId="719A34D3" w14:textId="77777777" w:rsidR="007E13DE" w:rsidRDefault="00000000">
      <w:pPr>
        <w:spacing w:after="10"/>
        <w:ind w:left="-672"/>
        <w:jc w:val="both"/>
      </w:pPr>
      <w:r>
        <w:rPr>
          <w:rFonts w:ascii="Times New Roman" w:eastAsia="Times New Roman" w:hAnsi="Times New Roman" w:cs="Times New Roman"/>
          <w:sz w:val="7"/>
        </w:rPr>
        <w:t xml:space="preserve"> </w:t>
      </w:r>
    </w:p>
    <w:p w14:paraId="43E972E5" w14:textId="77777777" w:rsidR="007E13DE" w:rsidRDefault="00000000">
      <w:pPr>
        <w:spacing w:after="10"/>
        <w:ind w:left="-672"/>
        <w:jc w:val="both"/>
      </w:pPr>
      <w:r>
        <w:rPr>
          <w:rFonts w:ascii="Times New Roman" w:eastAsia="Times New Roman" w:hAnsi="Times New Roman" w:cs="Times New Roman"/>
          <w:sz w:val="7"/>
        </w:rPr>
        <w:t xml:space="preserve"> </w:t>
      </w:r>
    </w:p>
    <w:p w14:paraId="6DE998ED" w14:textId="77777777" w:rsidR="007E13DE" w:rsidRDefault="00000000">
      <w:pPr>
        <w:spacing w:after="10"/>
        <w:ind w:left="-672"/>
        <w:jc w:val="both"/>
      </w:pPr>
      <w:r>
        <w:rPr>
          <w:rFonts w:ascii="Times New Roman" w:eastAsia="Times New Roman" w:hAnsi="Times New Roman" w:cs="Times New Roman"/>
          <w:sz w:val="7"/>
        </w:rPr>
        <w:t xml:space="preserve"> </w:t>
      </w:r>
    </w:p>
    <w:p w14:paraId="359C9EDB"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5486FA9E" w14:textId="77777777" w:rsidR="007E13DE" w:rsidRDefault="00000000">
      <w:pPr>
        <w:spacing w:after="10"/>
        <w:ind w:left="-672"/>
        <w:jc w:val="both"/>
      </w:pPr>
      <w:r>
        <w:rPr>
          <w:rFonts w:ascii="Times New Roman" w:eastAsia="Times New Roman" w:hAnsi="Times New Roman" w:cs="Times New Roman"/>
          <w:sz w:val="7"/>
        </w:rPr>
        <w:t xml:space="preserve"> </w:t>
      </w:r>
    </w:p>
    <w:p w14:paraId="59496F0A" w14:textId="77777777" w:rsidR="007E13DE" w:rsidRDefault="00000000">
      <w:pPr>
        <w:spacing w:after="0"/>
        <w:ind w:left="-672"/>
        <w:jc w:val="both"/>
      </w:pPr>
      <w:r>
        <w:rPr>
          <w:rFonts w:ascii="Times New Roman" w:eastAsia="Times New Roman" w:hAnsi="Times New Roman" w:cs="Times New Roman"/>
          <w:sz w:val="7"/>
        </w:rPr>
        <w:t xml:space="preserve"> </w:t>
      </w:r>
    </w:p>
    <w:p w14:paraId="7135C532" w14:textId="77777777" w:rsidR="007E13DE" w:rsidRDefault="00000000">
      <w:pPr>
        <w:spacing w:after="10"/>
        <w:ind w:left="-672"/>
        <w:jc w:val="both"/>
      </w:pPr>
      <w:r>
        <w:rPr>
          <w:rFonts w:ascii="Times New Roman" w:eastAsia="Times New Roman" w:hAnsi="Times New Roman" w:cs="Times New Roman"/>
          <w:sz w:val="7"/>
        </w:rPr>
        <w:t xml:space="preserve"> </w:t>
      </w:r>
    </w:p>
    <w:p w14:paraId="36DB04F4" w14:textId="77777777" w:rsidR="007E13DE" w:rsidRDefault="00000000">
      <w:pPr>
        <w:spacing w:after="10"/>
        <w:ind w:left="-672"/>
        <w:jc w:val="both"/>
      </w:pPr>
      <w:r>
        <w:rPr>
          <w:rFonts w:ascii="Times New Roman" w:eastAsia="Times New Roman" w:hAnsi="Times New Roman" w:cs="Times New Roman"/>
          <w:sz w:val="7"/>
        </w:rPr>
        <w:t xml:space="preserve"> </w:t>
      </w:r>
    </w:p>
    <w:p w14:paraId="0B59CCCD" w14:textId="77777777" w:rsidR="007E13DE" w:rsidRDefault="00000000">
      <w:pPr>
        <w:spacing w:after="10"/>
        <w:ind w:left="-672"/>
        <w:jc w:val="both"/>
      </w:pPr>
      <w:r>
        <w:rPr>
          <w:rFonts w:ascii="Times New Roman" w:eastAsia="Times New Roman" w:hAnsi="Times New Roman" w:cs="Times New Roman"/>
          <w:sz w:val="7"/>
        </w:rPr>
        <w:t xml:space="preserve"> </w:t>
      </w:r>
    </w:p>
    <w:p w14:paraId="0F1284E1" w14:textId="77777777" w:rsidR="007E13DE" w:rsidRDefault="00000000">
      <w:pPr>
        <w:spacing w:after="10"/>
        <w:ind w:left="-672"/>
        <w:jc w:val="both"/>
      </w:pPr>
      <w:r>
        <w:rPr>
          <w:rFonts w:ascii="Times New Roman" w:eastAsia="Times New Roman" w:hAnsi="Times New Roman" w:cs="Times New Roman"/>
          <w:sz w:val="7"/>
        </w:rPr>
        <w:t xml:space="preserve"> </w:t>
      </w:r>
    </w:p>
    <w:p w14:paraId="54806C40" w14:textId="77777777" w:rsidR="007E13DE" w:rsidRDefault="00000000">
      <w:pPr>
        <w:spacing w:after="10"/>
        <w:ind w:left="-672"/>
        <w:jc w:val="both"/>
      </w:pPr>
      <w:r>
        <w:rPr>
          <w:rFonts w:ascii="Times New Roman" w:eastAsia="Times New Roman" w:hAnsi="Times New Roman" w:cs="Times New Roman"/>
          <w:sz w:val="7"/>
        </w:rPr>
        <w:t xml:space="preserve"> </w:t>
      </w:r>
    </w:p>
    <w:p w14:paraId="5DC5BC26" w14:textId="77777777" w:rsidR="007E13DE" w:rsidRDefault="00000000">
      <w:pPr>
        <w:spacing w:after="10"/>
        <w:ind w:left="-672"/>
        <w:jc w:val="both"/>
      </w:pPr>
      <w:r>
        <w:rPr>
          <w:rFonts w:ascii="Times New Roman" w:eastAsia="Times New Roman" w:hAnsi="Times New Roman" w:cs="Times New Roman"/>
          <w:sz w:val="7"/>
        </w:rPr>
        <w:t xml:space="preserve"> </w:t>
      </w:r>
    </w:p>
    <w:p w14:paraId="05CFE309" w14:textId="77777777" w:rsidR="007E13DE" w:rsidRDefault="00000000">
      <w:pPr>
        <w:spacing w:after="10"/>
        <w:ind w:left="-672"/>
        <w:jc w:val="both"/>
      </w:pPr>
      <w:r>
        <w:rPr>
          <w:rFonts w:ascii="Times New Roman" w:eastAsia="Times New Roman" w:hAnsi="Times New Roman" w:cs="Times New Roman"/>
          <w:sz w:val="7"/>
        </w:rPr>
        <w:t xml:space="preserve"> </w:t>
      </w:r>
    </w:p>
    <w:p w14:paraId="134592F5" w14:textId="77777777" w:rsidR="007E13DE" w:rsidRDefault="00000000">
      <w:pPr>
        <w:spacing w:after="10"/>
        <w:ind w:left="-672"/>
        <w:jc w:val="both"/>
      </w:pPr>
      <w:r>
        <w:rPr>
          <w:rFonts w:ascii="Times New Roman" w:eastAsia="Times New Roman" w:hAnsi="Times New Roman" w:cs="Times New Roman"/>
          <w:sz w:val="7"/>
        </w:rPr>
        <w:t xml:space="preserve"> </w:t>
      </w:r>
    </w:p>
    <w:p w14:paraId="6F238DCE" w14:textId="77777777" w:rsidR="007E13DE" w:rsidRDefault="00000000">
      <w:pPr>
        <w:spacing w:after="10"/>
        <w:ind w:left="-672"/>
        <w:jc w:val="both"/>
      </w:pPr>
      <w:r>
        <w:rPr>
          <w:rFonts w:ascii="Times New Roman" w:eastAsia="Times New Roman" w:hAnsi="Times New Roman" w:cs="Times New Roman"/>
          <w:sz w:val="7"/>
        </w:rPr>
        <w:t xml:space="preserve"> </w:t>
      </w:r>
    </w:p>
    <w:p w14:paraId="4203F8A5" w14:textId="77777777" w:rsidR="007E13DE" w:rsidRDefault="00000000">
      <w:pPr>
        <w:spacing w:after="10"/>
        <w:ind w:left="-672"/>
        <w:jc w:val="both"/>
      </w:pPr>
      <w:r>
        <w:rPr>
          <w:rFonts w:ascii="Times New Roman" w:eastAsia="Times New Roman" w:hAnsi="Times New Roman" w:cs="Times New Roman"/>
          <w:sz w:val="7"/>
        </w:rPr>
        <w:t xml:space="preserve"> </w:t>
      </w:r>
    </w:p>
    <w:p w14:paraId="2D669F7E" w14:textId="77777777" w:rsidR="007E13DE" w:rsidRDefault="00000000">
      <w:pPr>
        <w:spacing w:after="10"/>
        <w:ind w:left="-672"/>
        <w:jc w:val="both"/>
      </w:pPr>
      <w:r>
        <w:rPr>
          <w:rFonts w:ascii="Times New Roman" w:eastAsia="Times New Roman" w:hAnsi="Times New Roman" w:cs="Times New Roman"/>
          <w:sz w:val="7"/>
        </w:rPr>
        <w:t xml:space="preserve"> </w:t>
      </w:r>
    </w:p>
    <w:p w14:paraId="55017E89" w14:textId="77777777" w:rsidR="007E13DE" w:rsidRDefault="00000000">
      <w:pPr>
        <w:spacing w:after="10"/>
        <w:ind w:left="-672"/>
        <w:jc w:val="both"/>
      </w:pPr>
      <w:r>
        <w:rPr>
          <w:rFonts w:ascii="Times New Roman" w:eastAsia="Times New Roman" w:hAnsi="Times New Roman" w:cs="Times New Roman"/>
          <w:sz w:val="7"/>
        </w:rPr>
        <w:t xml:space="preserve"> </w:t>
      </w:r>
    </w:p>
    <w:p w14:paraId="35603ED6" w14:textId="77777777" w:rsidR="007E13DE" w:rsidRDefault="00000000">
      <w:pPr>
        <w:spacing w:after="10"/>
        <w:ind w:left="-672"/>
        <w:jc w:val="both"/>
      </w:pPr>
      <w:r>
        <w:rPr>
          <w:rFonts w:ascii="Times New Roman" w:eastAsia="Times New Roman" w:hAnsi="Times New Roman" w:cs="Times New Roman"/>
          <w:sz w:val="7"/>
        </w:rPr>
        <w:t xml:space="preserve"> </w:t>
      </w:r>
    </w:p>
    <w:p w14:paraId="48577541" w14:textId="77777777" w:rsidR="007E13DE" w:rsidRDefault="00000000">
      <w:pPr>
        <w:spacing w:after="10"/>
        <w:ind w:left="-672"/>
        <w:jc w:val="both"/>
      </w:pPr>
      <w:r>
        <w:rPr>
          <w:rFonts w:ascii="Times New Roman" w:eastAsia="Times New Roman" w:hAnsi="Times New Roman" w:cs="Times New Roman"/>
          <w:sz w:val="7"/>
        </w:rPr>
        <w:t xml:space="preserve"> </w:t>
      </w:r>
    </w:p>
    <w:p w14:paraId="5E3A0C76" w14:textId="77777777" w:rsidR="007E13DE" w:rsidRDefault="00000000">
      <w:pPr>
        <w:spacing w:after="10"/>
        <w:ind w:left="-672"/>
        <w:jc w:val="both"/>
      </w:pPr>
      <w:r>
        <w:rPr>
          <w:rFonts w:ascii="Times New Roman" w:eastAsia="Times New Roman" w:hAnsi="Times New Roman" w:cs="Times New Roman"/>
          <w:sz w:val="7"/>
        </w:rPr>
        <w:t xml:space="preserve"> </w:t>
      </w:r>
    </w:p>
    <w:p w14:paraId="73FD0080" w14:textId="77777777" w:rsidR="007E13DE" w:rsidRDefault="00000000">
      <w:pPr>
        <w:spacing w:after="10"/>
        <w:ind w:left="-672"/>
        <w:jc w:val="both"/>
      </w:pPr>
      <w:r>
        <w:rPr>
          <w:rFonts w:ascii="Times New Roman" w:eastAsia="Times New Roman" w:hAnsi="Times New Roman" w:cs="Times New Roman"/>
          <w:sz w:val="7"/>
        </w:rPr>
        <w:t xml:space="preserve"> </w:t>
      </w:r>
    </w:p>
    <w:p w14:paraId="4C093572" w14:textId="77777777" w:rsidR="007E13DE" w:rsidRDefault="00000000">
      <w:pPr>
        <w:spacing w:after="10"/>
        <w:ind w:left="-672"/>
        <w:jc w:val="both"/>
      </w:pPr>
      <w:r>
        <w:rPr>
          <w:rFonts w:ascii="Times New Roman" w:eastAsia="Times New Roman" w:hAnsi="Times New Roman" w:cs="Times New Roman"/>
          <w:sz w:val="7"/>
        </w:rPr>
        <w:t xml:space="preserve"> </w:t>
      </w:r>
    </w:p>
    <w:p w14:paraId="18543580" w14:textId="77777777" w:rsidR="007E13DE" w:rsidRDefault="00000000">
      <w:pPr>
        <w:spacing w:after="10"/>
        <w:ind w:left="-672"/>
        <w:jc w:val="both"/>
      </w:pPr>
      <w:r>
        <w:rPr>
          <w:rFonts w:ascii="Times New Roman" w:eastAsia="Times New Roman" w:hAnsi="Times New Roman" w:cs="Times New Roman"/>
          <w:sz w:val="7"/>
        </w:rPr>
        <w:t xml:space="preserve"> </w:t>
      </w:r>
    </w:p>
    <w:p w14:paraId="7195363B" w14:textId="77777777" w:rsidR="007E13DE" w:rsidRDefault="00000000">
      <w:pPr>
        <w:spacing w:after="10"/>
        <w:ind w:left="-672"/>
        <w:jc w:val="both"/>
      </w:pPr>
      <w:r>
        <w:rPr>
          <w:rFonts w:ascii="Times New Roman" w:eastAsia="Times New Roman" w:hAnsi="Times New Roman" w:cs="Times New Roman"/>
          <w:sz w:val="7"/>
        </w:rPr>
        <w:t xml:space="preserve"> </w:t>
      </w:r>
    </w:p>
    <w:p w14:paraId="044E6142" w14:textId="77777777" w:rsidR="007E13DE" w:rsidRDefault="00000000">
      <w:pPr>
        <w:spacing w:after="10"/>
        <w:ind w:left="-672"/>
        <w:jc w:val="both"/>
      </w:pPr>
      <w:r>
        <w:rPr>
          <w:rFonts w:ascii="Times New Roman" w:eastAsia="Times New Roman" w:hAnsi="Times New Roman" w:cs="Times New Roman"/>
          <w:sz w:val="7"/>
        </w:rPr>
        <w:t xml:space="preserve"> </w:t>
      </w:r>
    </w:p>
    <w:p w14:paraId="4DF5E323" w14:textId="77777777" w:rsidR="007E13DE" w:rsidRDefault="00000000">
      <w:pPr>
        <w:spacing w:after="10"/>
        <w:ind w:left="-672"/>
        <w:jc w:val="both"/>
      </w:pPr>
      <w:r>
        <w:rPr>
          <w:rFonts w:ascii="Times New Roman" w:eastAsia="Times New Roman" w:hAnsi="Times New Roman" w:cs="Times New Roman"/>
          <w:sz w:val="7"/>
        </w:rPr>
        <w:t xml:space="preserve"> </w:t>
      </w:r>
    </w:p>
    <w:p w14:paraId="6D179E76" w14:textId="77777777" w:rsidR="007E13DE" w:rsidRDefault="00000000">
      <w:pPr>
        <w:spacing w:after="10"/>
        <w:ind w:left="-672"/>
        <w:jc w:val="both"/>
      </w:pPr>
      <w:r>
        <w:rPr>
          <w:rFonts w:ascii="Times New Roman" w:eastAsia="Times New Roman" w:hAnsi="Times New Roman" w:cs="Times New Roman"/>
          <w:sz w:val="7"/>
        </w:rPr>
        <w:t xml:space="preserve"> </w:t>
      </w:r>
    </w:p>
    <w:p w14:paraId="3E271286" w14:textId="77777777" w:rsidR="007E13DE" w:rsidRDefault="00000000">
      <w:pPr>
        <w:spacing w:after="10"/>
        <w:ind w:left="-672"/>
        <w:jc w:val="both"/>
      </w:pPr>
      <w:r>
        <w:rPr>
          <w:rFonts w:ascii="Times New Roman" w:eastAsia="Times New Roman" w:hAnsi="Times New Roman" w:cs="Times New Roman"/>
          <w:sz w:val="7"/>
        </w:rPr>
        <w:t xml:space="preserve"> </w:t>
      </w:r>
    </w:p>
    <w:p w14:paraId="7BFE69AE" w14:textId="77777777" w:rsidR="007E13DE" w:rsidRDefault="00000000">
      <w:pPr>
        <w:spacing w:after="10"/>
        <w:ind w:left="-672"/>
        <w:jc w:val="both"/>
      </w:pPr>
      <w:r>
        <w:rPr>
          <w:rFonts w:ascii="Times New Roman" w:eastAsia="Times New Roman" w:hAnsi="Times New Roman" w:cs="Times New Roman"/>
          <w:sz w:val="7"/>
        </w:rPr>
        <w:t xml:space="preserve"> </w:t>
      </w:r>
    </w:p>
    <w:p w14:paraId="6A293198" w14:textId="77777777" w:rsidR="007E13DE" w:rsidRDefault="00000000">
      <w:pPr>
        <w:spacing w:after="10"/>
        <w:ind w:left="-672"/>
        <w:jc w:val="both"/>
      </w:pPr>
      <w:r>
        <w:rPr>
          <w:rFonts w:ascii="Times New Roman" w:eastAsia="Times New Roman" w:hAnsi="Times New Roman" w:cs="Times New Roman"/>
          <w:sz w:val="7"/>
        </w:rPr>
        <w:t xml:space="preserve"> </w:t>
      </w:r>
    </w:p>
    <w:p w14:paraId="496077F3" w14:textId="77777777" w:rsidR="007E13DE" w:rsidRDefault="00000000">
      <w:pPr>
        <w:spacing w:after="10"/>
        <w:ind w:left="-672"/>
        <w:jc w:val="both"/>
      </w:pPr>
      <w:r>
        <w:rPr>
          <w:rFonts w:ascii="Times New Roman" w:eastAsia="Times New Roman" w:hAnsi="Times New Roman" w:cs="Times New Roman"/>
          <w:sz w:val="7"/>
        </w:rPr>
        <w:t xml:space="preserve"> </w:t>
      </w:r>
    </w:p>
    <w:p w14:paraId="14E6760E" w14:textId="77777777" w:rsidR="007E13DE" w:rsidRDefault="00000000">
      <w:pPr>
        <w:spacing w:after="10"/>
        <w:ind w:left="-672"/>
        <w:jc w:val="both"/>
      </w:pPr>
      <w:r>
        <w:rPr>
          <w:rFonts w:ascii="Times New Roman" w:eastAsia="Times New Roman" w:hAnsi="Times New Roman" w:cs="Times New Roman"/>
          <w:sz w:val="7"/>
        </w:rPr>
        <w:t xml:space="preserve"> </w:t>
      </w:r>
    </w:p>
    <w:p w14:paraId="684BA337" w14:textId="77777777" w:rsidR="007E13DE" w:rsidRDefault="00000000">
      <w:pPr>
        <w:spacing w:after="10"/>
        <w:ind w:left="-672"/>
        <w:jc w:val="both"/>
      </w:pPr>
      <w:r>
        <w:rPr>
          <w:rFonts w:ascii="Times New Roman" w:eastAsia="Times New Roman" w:hAnsi="Times New Roman" w:cs="Times New Roman"/>
          <w:sz w:val="7"/>
        </w:rPr>
        <w:t xml:space="preserve"> </w:t>
      </w:r>
    </w:p>
    <w:p w14:paraId="38C174A9" w14:textId="77777777" w:rsidR="007E13DE" w:rsidRDefault="00000000">
      <w:pPr>
        <w:spacing w:after="10"/>
        <w:ind w:left="-672"/>
        <w:jc w:val="both"/>
      </w:pPr>
      <w:r>
        <w:rPr>
          <w:rFonts w:ascii="Times New Roman" w:eastAsia="Times New Roman" w:hAnsi="Times New Roman" w:cs="Times New Roman"/>
          <w:sz w:val="7"/>
        </w:rPr>
        <w:t xml:space="preserve"> </w:t>
      </w:r>
    </w:p>
    <w:p w14:paraId="70A53EA6" w14:textId="77777777" w:rsidR="007E13DE" w:rsidRDefault="00000000">
      <w:pPr>
        <w:spacing w:after="10"/>
        <w:ind w:left="-672"/>
        <w:jc w:val="both"/>
      </w:pPr>
      <w:r>
        <w:rPr>
          <w:rFonts w:ascii="Times New Roman" w:eastAsia="Times New Roman" w:hAnsi="Times New Roman" w:cs="Times New Roman"/>
          <w:sz w:val="7"/>
        </w:rPr>
        <w:t xml:space="preserve"> </w:t>
      </w:r>
    </w:p>
    <w:p w14:paraId="0E615C8B" w14:textId="77777777" w:rsidR="007E13DE" w:rsidRDefault="00000000">
      <w:pPr>
        <w:spacing w:after="10"/>
        <w:ind w:left="-672"/>
        <w:jc w:val="both"/>
      </w:pPr>
      <w:r>
        <w:rPr>
          <w:rFonts w:ascii="Times New Roman" w:eastAsia="Times New Roman" w:hAnsi="Times New Roman" w:cs="Times New Roman"/>
          <w:sz w:val="7"/>
        </w:rPr>
        <w:t xml:space="preserve"> </w:t>
      </w:r>
    </w:p>
    <w:p w14:paraId="48280C40" w14:textId="77777777" w:rsidR="007E13DE" w:rsidRDefault="00000000">
      <w:pPr>
        <w:spacing w:after="10"/>
        <w:ind w:left="-672"/>
        <w:jc w:val="both"/>
      </w:pPr>
      <w:r>
        <w:rPr>
          <w:rFonts w:ascii="Times New Roman" w:eastAsia="Times New Roman" w:hAnsi="Times New Roman" w:cs="Times New Roman"/>
          <w:sz w:val="7"/>
        </w:rPr>
        <w:t xml:space="preserve"> </w:t>
      </w:r>
    </w:p>
    <w:p w14:paraId="436ABF3A" w14:textId="77777777" w:rsidR="007E13DE" w:rsidRDefault="00000000">
      <w:pPr>
        <w:spacing w:after="10"/>
        <w:ind w:left="-672"/>
        <w:jc w:val="both"/>
      </w:pPr>
      <w:r>
        <w:rPr>
          <w:rFonts w:ascii="Times New Roman" w:eastAsia="Times New Roman" w:hAnsi="Times New Roman" w:cs="Times New Roman"/>
          <w:sz w:val="7"/>
        </w:rPr>
        <w:t xml:space="preserve"> </w:t>
      </w:r>
    </w:p>
    <w:p w14:paraId="7136F4F3" w14:textId="77777777" w:rsidR="007E13DE" w:rsidRDefault="00000000">
      <w:pPr>
        <w:spacing w:after="10"/>
        <w:ind w:left="-672"/>
        <w:jc w:val="both"/>
      </w:pPr>
      <w:r>
        <w:rPr>
          <w:rFonts w:ascii="Times New Roman" w:eastAsia="Times New Roman" w:hAnsi="Times New Roman" w:cs="Times New Roman"/>
          <w:sz w:val="7"/>
        </w:rPr>
        <w:t xml:space="preserve"> </w:t>
      </w:r>
    </w:p>
    <w:p w14:paraId="64600928" w14:textId="77777777" w:rsidR="007E13DE" w:rsidRDefault="00000000">
      <w:pPr>
        <w:spacing w:after="10"/>
        <w:ind w:left="-672"/>
        <w:jc w:val="both"/>
      </w:pPr>
      <w:r>
        <w:rPr>
          <w:rFonts w:ascii="Times New Roman" w:eastAsia="Times New Roman" w:hAnsi="Times New Roman" w:cs="Times New Roman"/>
          <w:sz w:val="7"/>
        </w:rPr>
        <w:t xml:space="preserve"> </w:t>
      </w:r>
    </w:p>
    <w:p w14:paraId="534C3F89" w14:textId="77777777" w:rsidR="007E13DE" w:rsidRDefault="00000000">
      <w:pPr>
        <w:spacing w:after="10"/>
        <w:ind w:left="-672"/>
        <w:jc w:val="both"/>
      </w:pPr>
      <w:r>
        <w:rPr>
          <w:rFonts w:ascii="Times New Roman" w:eastAsia="Times New Roman" w:hAnsi="Times New Roman" w:cs="Times New Roman"/>
          <w:sz w:val="7"/>
        </w:rPr>
        <w:t xml:space="preserve"> </w:t>
      </w:r>
    </w:p>
    <w:p w14:paraId="2F2E5C36" w14:textId="77777777" w:rsidR="007E13DE" w:rsidRDefault="00000000">
      <w:pPr>
        <w:spacing w:after="10"/>
        <w:ind w:left="-672"/>
        <w:jc w:val="both"/>
      </w:pPr>
      <w:r>
        <w:rPr>
          <w:rFonts w:ascii="Times New Roman" w:eastAsia="Times New Roman" w:hAnsi="Times New Roman" w:cs="Times New Roman"/>
          <w:sz w:val="7"/>
        </w:rPr>
        <w:t xml:space="preserve"> </w:t>
      </w:r>
    </w:p>
    <w:p w14:paraId="20945D9C" w14:textId="77777777" w:rsidR="007E13DE" w:rsidRDefault="00000000">
      <w:pPr>
        <w:spacing w:after="10"/>
        <w:ind w:left="-672"/>
        <w:jc w:val="both"/>
      </w:pPr>
      <w:r>
        <w:rPr>
          <w:rFonts w:ascii="Times New Roman" w:eastAsia="Times New Roman" w:hAnsi="Times New Roman" w:cs="Times New Roman"/>
          <w:sz w:val="7"/>
        </w:rPr>
        <w:t xml:space="preserve"> </w:t>
      </w:r>
    </w:p>
    <w:p w14:paraId="76D7E2EA" w14:textId="77777777" w:rsidR="007E13DE" w:rsidRDefault="00000000">
      <w:pPr>
        <w:spacing w:after="10"/>
        <w:ind w:left="-672"/>
        <w:jc w:val="both"/>
      </w:pPr>
      <w:r>
        <w:rPr>
          <w:rFonts w:ascii="Times New Roman" w:eastAsia="Times New Roman" w:hAnsi="Times New Roman" w:cs="Times New Roman"/>
          <w:sz w:val="7"/>
        </w:rPr>
        <w:t xml:space="preserve"> </w:t>
      </w:r>
    </w:p>
    <w:p w14:paraId="53292285" w14:textId="77777777" w:rsidR="007E13DE" w:rsidRDefault="00000000">
      <w:pPr>
        <w:spacing w:after="10"/>
        <w:ind w:left="-672"/>
        <w:jc w:val="both"/>
      </w:pPr>
      <w:r>
        <w:rPr>
          <w:rFonts w:ascii="Times New Roman" w:eastAsia="Times New Roman" w:hAnsi="Times New Roman" w:cs="Times New Roman"/>
          <w:sz w:val="7"/>
        </w:rPr>
        <w:t xml:space="preserve"> </w:t>
      </w:r>
    </w:p>
    <w:p w14:paraId="6C1E175D" w14:textId="77777777" w:rsidR="007E13DE" w:rsidRDefault="00000000">
      <w:pPr>
        <w:spacing w:after="10"/>
        <w:ind w:left="-672"/>
        <w:jc w:val="both"/>
      </w:pPr>
      <w:r>
        <w:rPr>
          <w:rFonts w:ascii="Times New Roman" w:eastAsia="Times New Roman" w:hAnsi="Times New Roman" w:cs="Times New Roman"/>
          <w:sz w:val="7"/>
        </w:rPr>
        <w:t xml:space="preserve"> </w:t>
      </w:r>
    </w:p>
    <w:p w14:paraId="59733CD3" w14:textId="77777777" w:rsidR="007E13DE" w:rsidRDefault="00000000">
      <w:pPr>
        <w:spacing w:after="10"/>
        <w:ind w:left="-672"/>
        <w:jc w:val="both"/>
      </w:pPr>
      <w:r>
        <w:rPr>
          <w:rFonts w:ascii="Times New Roman" w:eastAsia="Times New Roman" w:hAnsi="Times New Roman" w:cs="Times New Roman"/>
          <w:sz w:val="7"/>
        </w:rPr>
        <w:t xml:space="preserve"> </w:t>
      </w:r>
    </w:p>
    <w:p w14:paraId="34F1562D" w14:textId="77777777" w:rsidR="007E13DE" w:rsidRDefault="00000000">
      <w:pPr>
        <w:spacing w:after="10"/>
        <w:ind w:left="-672"/>
        <w:jc w:val="both"/>
      </w:pPr>
      <w:r>
        <w:rPr>
          <w:rFonts w:ascii="Times New Roman" w:eastAsia="Times New Roman" w:hAnsi="Times New Roman" w:cs="Times New Roman"/>
          <w:sz w:val="7"/>
        </w:rPr>
        <w:t xml:space="preserve"> </w:t>
      </w:r>
    </w:p>
    <w:p w14:paraId="2983C8ED"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3FBFF800" w14:textId="77777777" w:rsidR="007E13DE" w:rsidRDefault="00000000">
      <w:pPr>
        <w:spacing w:after="10"/>
        <w:ind w:left="-672"/>
        <w:jc w:val="both"/>
      </w:pPr>
      <w:r>
        <w:rPr>
          <w:rFonts w:ascii="Times New Roman" w:eastAsia="Times New Roman" w:hAnsi="Times New Roman" w:cs="Times New Roman"/>
          <w:sz w:val="7"/>
        </w:rPr>
        <w:t xml:space="preserve"> </w:t>
      </w:r>
    </w:p>
    <w:p w14:paraId="4299F1EA" w14:textId="77777777" w:rsidR="007E13DE" w:rsidRDefault="00000000">
      <w:pPr>
        <w:spacing w:after="10"/>
        <w:ind w:left="-672"/>
        <w:jc w:val="both"/>
      </w:pPr>
      <w:r>
        <w:rPr>
          <w:rFonts w:ascii="Times New Roman" w:eastAsia="Times New Roman" w:hAnsi="Times New Roman" w:cs="Times New Roman"/>
          <w:sz w:val="7"/>
        </w:rPr>
        <w:t xml:space="preserve"> </w:t>
      </w:r>
    </w:p>
    <w:p w14:paraId="26E276A6" w14:textId="77777777" w:rsidR="007E13DE" w:rsidRDefault="00000000">
      <w:pPr>
        <w:spacing w:after="10"/>
        <w:ind w:left="-672"/>
        <w:jc w:val="both"/>
      </w:pPr>
      <w:r>
        <w:rPr>
          <w:rFonts w:ascii="Times New Roman" w:eastAsia="Times New Roman" w:hAnsi="Times New Roman" w:cs="Times New Roman"/>
          <w:sz w:val="7"/>
        </w:rPr>
        <w:t xml:space="preserve"> </w:t>
      </w:r>
    </w:p>
    <w:p w14:paraId="58EE9392" w14:textId="77777777" w:rsidR="007E13DE" w:rsidRDefault="00000000">
      <w:pPr>
        <w:spacing w:after="10"/>
        <w:ind w:left="-672"/>
        <w:jc w:val="both"/>
      </w:pPr>
      <w:r>
        <w:rPr>
          <w:rFonts w:ascii="Times New Roman" w:eastAsia="Times New Roman" w:hAnsi="Times New Roman" w:cs="Times New Roman"/>
          <w:sz w:val="7"/>
        </w:rPr>
        <w:t xml:space="preserve"> </w:t>
      </w:r>
    </w:p>
    <w:p w14:paraId="53A03D00" w14:textId="77777777" w:rsidR="007E13DE" w:rsidRDefault="00000000">
      <w:pPr>
        <w:spacing w:after="10"/>
        <w:ind w:left="-672"/>
        <w:jc w:val="both"/>
      </w:pPr>
      <w:r>
        <w:rPr>
          <w:rFonts w:ascii="Times New Roman" w:eastAsia="Times New Roman" w:hAnsi="Times New Roman" w:cs="Times New Roman"/>
          <w:sz w:val="7"/>
        </w:rPr>
        <w:t xml:space="preserve"> </w:t>
      </w:r>
    </w:p>
    <w:p w14:paraId="45511798" w14:textId="77777777" w:rsidR="007E13DE" w:rsidRDefault="00000000">
      <w:pPr>
        <w:spacing w:after="10"/>
        <w:ind w:left="-672"/>
        <w:jc w:val="both"/>
      </w:pPr>
      <w:r>
        <w:rPr>
          <w:rFonts w:ascii="Times New Roman" w:eastAsia="Times New Roman" w:hAnsi="Times New Roman" w:cs="Times New Roman"/>
          <w:sz w:val="7"/>
        </w:rPr>
        <w:t xml:space="preserve"> </w:t>
      </w:r>
    </w:p>
    <w:p w14:paraId="5302FFF4" w14:textId="77777777" w:rsidR="007E13DE" w:rsidRDefault="00000000">
      <w:pPr>
        <w:spacing w:after="10"/>
        <w:ind w:left="-672"/>
        <w:jc w:val="both"/>
      </w:pPr>
      <w:r>
        <w:rPr>
          <w:rFonts w:ascii="Times New Roman" w:eastAsia="Times New Roman" w:hAnsi="Times New Roman" w:cs="Times New Roman"/>
          <w:sz w:val="7"/>
        </w:rPr>
        <w:t xml:space="preserve"> </w:t>
      </w:r>
    </w:p>
    <w:p w14:paraId="35221666" w14:textId="77777777" w:rsidR="007E13DE" w:rsidRDefault="00000000">
      <w:pPr>
        <w:spacing w:after="10"/>
        <w:ind w:left="-672"/>
        <w:jc w:val="both"/>
      </w:pPr>
      <w:r>
        <w:rPr>
          <w:rFonts w:ascii="Times New Roman" w:eastAsia="Times New Roman" w:hAnsi="Times New Roman" w:cs="Times New Roman"/>
          <w:sz w:val="7"/>
        </w:rPr>
        <w:t xml:space="preserve"> </w:t>
      </w:r>
    </w:p>
    <w:p w14:paraId="77C209F6" w14:textId="77777777" w:rsidR="007E13DE" w:rsidRDefault="00000000">
      <w:pPr>
        <w:spacing w:after="10"/>
        <w:ind w:left="-672"/>
        <w:jc w:val="both"/>
      </w:pPr>
      <w:r>
        <w:rPr>
          <w:rFonts w:ascii="Times New Roman" w:eastAsia="Times New Roman" w:hAnsi="Times New Roman" w:cs="Times New Roman"/>
          <w:sz w:val="7"/>
        </w:rPr>
        <w:t xml:space="preserve"> </w:t>
      </w:r>
    </w:p>
    <w:p w14:paraId="6A052A6F" w14:textId="77777777" w:rsidR="007E13DE" w:rsidRDefault="00000000">
      <w:pPr>
        <w:spacing w:after="10"/>
        <w:ind w:left="-672"/>
        <w:jc w:val="both"/>
      </w:pPr>
      <w:r>
        <w:rPr>
          <w:rFonts w:ascii="Times New Roman" w:eastAsia="Times New Roman" w:hAnsi="Times New Roman" w:cs="Times New Roman"/>
          <w:sz w:val="7"/>
        </w:rPr>
        <w:t xml:space="preserve"> </w:t>
      </w:r>
    </w:p>
    <w:p w14:paraId="6339DF21" w14:textId="77777777" w:rsidR="007E13DE" w:rsidRDefault="00000000">
      <w:pPr>
        <w:spacing w:after="10"/>
        <w:ind w:left="-672"/>
        <w:jc w:val="both"/>
      </w:pPr>
      <w:r>
        <w:rPr>
          <w:rFonts w:ascii="Times New Roman" w:eastAsia="Times New Roman" w:hAnsi="Times New Roman" w:cs="Times New Roman"/>
          <w:sz w:val="7"/>
        </w:rPr>
        <w:t xml:space="preserve"> </w:t>
      </w:r>
    </w:p>
    <w:p w14:paraId="3E31EA07" w14:textId="77777777" w:rsidR="007E13DE" w:rsidRDefault="00000000">
      <w:pPr>
        <w:spacing w:after="10"/>
        <w:ind w:left="-672"/>
        <w:jc w:val="both"/>
      </w:pPr>
      <w:r>
        <w:rPr>
          <w:rFonts w:ascii="Times New Roman" w:eastAsia="Times New Roman" w:hAnsi="Times New Roman" w:cs="Times New Roman"/>
          <w:sz w:val="7"/>
        </w:rPr>
        <w:t xml:space="preserve"> </w:t>
      </w:r>
    </w:p>
    <w:p w14:paraId="1BEBDDBF" w14:textId="77777777" w:rsidR="007E13DE" w:rsidRDefault="00000000">
      <w:pPr>
        <w:spacing w:after="10"/>
        <w:ind w:left="-672"/>
        <w:jc w:val="both"/>
      </w:pPr>
      <w:r>
        <w:rPr>
          <w:rFonts w:ascii="Times New Roman" w:eastAsia="Times New Roman" w:hAnsi="Times New Roman" w:cs="Times New Roman"/>
          <w:sz w:val="7"/>
        </w:rPr>
        <w:t xml:space="preserve"> </w:t>
      </w:r>
    </w:p>
    <w:p w14:paraId="42A69BA3" w14:textId="77777777" w:rsidR="007E13DE" w:rsidRDefault="00000000">
      <w:pPr>
        <w:spacing w:after="10"/>
        <w:ind w:left="-672"/>
        <w:jc w:val="both"/>
      </w:pPr>
      <w:r>
        <w:rPr>
          <w:rFonts w:ascii="Times New Roman" w:eastAsia="Times New Roman" w:hAnsi="Times New Roman" w:cs="Times New Roman"/>
          <w:sz w:val="7"/>
        </w:rPr>
        <w:t xml:space="preserve"> </w:t>
      </w:r>
    </w:p>
    <w:p w14:paraId="0CAD9F59" w14:textId="77777777" w:rsidR="007E13DE" w:rsidRDefault="00000000">
      <w:pPr>
        <w:spacing w:after="10"/>
        <w:ind w:left="-672"/>
        <w:jc w:val="both"/>
      </w:pPr>
      <w:r>
        <w:rPr>
          <w:rFonts w:ascii="Times New Roman" w:eastAsia="Times New Roman" w:hAnsi="Times New Roman" w:cs="Times New Roman"/>
          <w:sz w:val="7"/>
        </w:rPr>
        <w:t xml:space="preserve"> </w:t>
      </w:r>
    </w:p>
    <w:p w14:paraId="7BC6D8B8" w14:textId="77777777" w:rsidR="007E13DE" w:rsidRDefault="00000000">
      <w:pPr>
        <w:spacing w:after="10"/>
        <w:ind w:left="-672"/>
        <w:jc w:val="both"/>
      </w:pPr>
      <w:r>
        <w:rPr>
          <w:rFonts w:ascii="Times New Roman" w:eastAsia="Times New Roman" w:hAnsi="Times New Roman" w:cs="Times New Roman"/>
          <w:sz w:val="7"/>
        </w:rPr>
        <w:t xml:space="preserve"> </w:t>
      </w:r>
    </w:p>
    <w:p w14:paraId="1674FE50" w14:textId="77777777" w:rsidR="007E13DE" w:rsidRDefault="00000000">
      <w:pPr>
        <w:spacing w:after="10"/>
        <w:ind w:left="-672"/>
        <w:jc w:val="both"/>
      </w:pPr>
      <w:r>
        <w:rPr>
          <w:rFonts w:ascii="Times New Roman" w:eastAsia="Times New Roman" w:hAnsi="Times New Roman" w:cs="Times New Roman"/>
          <w:sz w:val="7"/>
        </w:rPr>
        <w:t xml:space="preserve"> </w:t>
      </w:r>
    </w:p>
    <w:p w14:paraId="214CF318" w14:textId="77777777" w:rsidR="007E13DE" w:rsidRDefault="00000000">
      <w:pPr>
        <w:spacing w:after="10"/>
        <w:ind w:left="-672"/>
        <w:jc w:val="both"/>
      </w:pPr>
      <w:r>
        <w:rPr>
          <w:rFonts w:ascii="Times New Roman" w:eastAsia="Times New Roman" w:hAnsi="Times New Roman" w:cs="Times New Roman"/>
          <w:sz w:val="7"/>
        </w:rPr>
        <w:t xml:space="preserve"> </w:t>
      </w:r>
    </w:p>
    <w:p w14:paraId="2016A3C2" w14:textId="77777777" w:rsidR="007E13DE" w:rsidRDefault="00000000">
      <w:pPr>
        <w:spacing w:after="10"/>
        <w:ind w:left="-672"/>
        <w:jc w:val="both"/>
      </w:pPr>
      <w:r>
        <w:rPr>
          <w:rFonts w:ascii="Times New Roman" w:eastAsia="Times New Roman" w:hAnsi="Times New Roman" w:cs="Times New Roman"/>
          <w:sz w:val="7"/>
        </w:rPr>
        <w:t xml:space="preserve"> </w:t>
      </w:r>
    </w:p>
    <w:p w14:paraId="1F94FA42" w14:textId="77777777" w:rsidR="007E13DE" w:rsidRDefault="00000000">
      <w:pPr>
        <w:spacing w:after="10"/>
        <w:ind w:left="-672"/>
        <w:jc w:val="both"/>
      </w:pPr>
      <w:r>
        <w:rPr>
          <w:rFonts w:ascii="Times New Roman" w:eastAsia="Times New Roman" w:hAnsi="Times New Roman" w:cs="Times New Roman"/>
          <w:sz w:val="7"/>
        </w:rPr>
        <w:t xml:space="preserve"> </w:t>
      </w:r>
    </w:p>
    <w:p w14:paraId="315172F8" w14:textId="77777777" w:rsidR="007E13DE" w:rsidRDefault="00000000">
      <w:pPr>
        <w:spacing w:after="10"/>
        <w:ind w:left="-672"/>
        <w:jc w:val="both"/>
      </w:pPr>
      <w:r>
        <w:rPr>
          <w:rFonts w:ascii="Times New Roman" w:eastAsia="Times New Roman" w:hAnsi="Times New Roman" w:cs="Times New Roman"/>
          <w:sz w:val="7"/>
        </w:rPr>
        <w:t xml:space="preserve"> </w:t>
      </w:r>
    </w:p>
    <w:p w14:paraId="1CB46864" w14:textId="77777777" w:rsidR="007E13DE" w:rsidRDefault="00000000">
      <w:pPr>
        <w:spacing w:after="10"/>
        <w:ind w:left="-672"/>
        <w:jc w:val="both"/>
      </w:pPr>
      <w:r>
        <w:rPr>
          <w:rFonts w:ascii="Times New Roman" w:eastAsia="Times New Roman" w:hAnsi="Times New Roman" w:cs="Times New Roman"/>
          <w:sz w:val="7"/>
        </w:rPr>
        <w:t xml:space="preserve"> </w:t>
      </w:r>
    </w:p>
    <w:p w14:paraId="50158511" w14:textId="77777777" w:rsidR="007E13DE" w:rsidRDefault="00000000">
      <w:pPr>
        <w:spacing w:after="10"/>
        <w:ind w:left="-672"/>
        <w:jc w:val="both"/>
      </w:pPr>
      <w:r>
        <w:rPr>
          <w:rFonts w:ascii="Times New Roman" w:eastAsia="Times New Roman" w:hAnsi="Times New Roman" w:cs="Times New Roman"/>
          <w:sz w:val="7"/>
        </w:rPr>
        <w:t xml:space="preserve"> </w:t>
      </w:r>
    </w:p>
    <w:p w14:paraId="649EB49D" w14:textId="77777777" w:rsidR="007E13DE" w:rsidRDefault="00000000">
      <w:pPr>
        <w:spacing w:after="10"/>
        <w:ind w:left="-672"/>
        <w:jc w:val="both"/>
      </w:pPr>
      <w:r>
        <w:rPr>
          <w:rFonts w:ascii="Times New Roman" w:eastAsia="Times New Roman" w:hAnsi="Times New Roman" w:cs="Times New Roman"/>
          <w:sz w:val="7"/>
        </w:rPr>
        <w:t xml:space="preserve"> </w:t>
      </w:r>
    </w:p>
    <w:p w14:paraId="3783EA44" w14:textId="77777777" w:rsidR="007E13DE" w:rsidRDefault="00000000">
      <w:pPr>
        <w:spacing w:after="10"/>
        <w:ind w:left="-672"/>
        <w:jc w:val="both"/>
      </w:pPr>
      <w:r>
        <w:rPr>
          <w:rFonts w:ascii="Times New Roman" w:eastAsia="Times New Roman" w:hAnsi="Times New Roman" w:cs="Times New Roman"/>
          <w:sz w:val="7"/>
        </w:rPr>
        <w:t xml:space="preserve"> </w:t>
      </w:r>
    </w:p>
    <w:p w14:paraId="5ABEF683" w14:textId="77777777" w:rsidR="007E13DE" w:rsidRDefault="00000000">
      <w:pPr>
        <w:spacing w:after="10"/>
        <w:ind w:left="-672"/>
        <w:jc w:val="both"/>
      </w:pPr>
      <w:r>
        <w:rPr>
          <w:rFonts w:ascii="Times New Roman" w:eastAsia="Times New Roman" w:hAnsi="Times New Roman" w:cs="Times New Roman"/>
          <w:sz w:val="7"/>
        </w:rPr>
        <w:t xml:space="preserve"> </w:t>
      </w:r>
    </w:p>
    <w:p w14:paraId="6B03E830" w14:textId="77777777" w:rsidR="007E13DE" w:rsidRDefault="00000000">
      <w:pPr>
        <w:spacing w:after="10"/>
        <w:ind w:left="-672"/>
        <w:jc w:val="both"/>
      </w:pPr>
      <w:r>
        <w:rPr>
          <w:rFonts w:ascii="Times New Roman" w:eastAsia="Times New Roman" w:hAnsi="Times New Roman" w:cs="Times New Roman"/>
          <w:sz w:val="7"/>
        </w:rPr>
        <w:t xml:space="preserve"> </w:t>
      </w:r>
    </w:p>
    <w:p w14:paraId="0FEF6929" w14:textId="77777777" w:rsidR="007E13DE" w:rsidRDefault="00000000">
      <w:pPr>
        <w:spacing w:after="10"/>
        <w:ind w:left="-672"/>
        <w:jc w:val="both"/>
      </w:pPr>
      <w:r>
        <w:rPr>
          <w:rFonts w:ascii="Times New Roman" w:eastAsia="Times New Roman" w:hAnsi="Times New Roman" w:cs="Times New Roman"/>
          <w:sz w:val="7"/>
        </w:rPr>
        <w:t xml:space="preserve"> </w:t>
      </w:r>
    </w:p>
    <w:p w14:paraId="6EA1F6C6" w14:textId="77777777" w:rsidR="007E13DE" w:rsidRDefault="00000000">
      <w:pPr>
        <w:spacing w:after="10"/>
        <w:ind w:left="-672"/>
        <w:jc w:val="both"/>
      </w:pPr>
      <w:r>
        <w:rPr>
          <w:rFonts w:ascii="Times New Roman" w:eastAsia="Times New Roman" w:hAnsi="Times New Roman" w:cs="Times New Roman"/>
          <w:sz w:val="7"/>
        </w:rPr>
        <w:t xml:space="preserve"> </w:t>
      </w:r>
    </w:p>
    <w:p w14:paraId="56850290" w14:textId="77777777" w:rsidR="007E13DE" w:rsidRDefault="00000000">
      <w:pPr>
        <w:spacing w:after="10"/>
        <w:ind w:left="-672"/>
        <w:jc w:val="both"/>
      </w:pPr>
      <w:r>
        <w:rPr>
          <w:rFonts w:ascii="Times New Roman" w:eastAsia="Times New Roman" w:hAnsi="Times New Roman" w:cs="Times New Roman"/>
          <w:sz w:val="7"/>
        </w:rPr>
        <w:t xml:space="preserve"> </w:t>
      </w:r>
    </w:p>
    <w:p w14:paraId="47C0393C" w14:textId="77777777" w:rsidR="007E13DE" w:rsidRDefault="00000000">
      <w:pPr>
        <w:spacing w:after="10"/>
        <w:ind w:left="-672"/>
        <w:jc w:val="both"/>
      </w:pPr>
      <w:r>
        <w:rPr>
          <w:rFonts w:ascii="Times New Roman" w:eastAsia="Times New Roman" w:hAnsi="Times New Roman" w:cs="Times New Roman"/>
          <w:sz w:val="7"/>
        </w:rPr>
        <w:t xml:space="preserve"> </w:t>
      </w:r>
    </w:p>
    <w:p w14:paraId="3460945B" w14:textId="77777777" w:rsidR="007E13DE" w:rsidRDefault="00000000">
      <w:pPr>
        <w:spacing w:after="10"/>
        <w:ind w:left="-672"/>
        <w:jc w:val="both"/>
      </w:pPr>
      <w:r>
        <w:rPr>
          <w:rFonts w:ascii="Times New Roman" w:eastAsia="Times New Roman" w:hAnsi="Times New Roman" w:cs="Times New Roman"/>
          <w:sz w:val="7"/>
        </w:rPr>
        <w:t xml:space="preserve"> </w:t>
      </w:r>
    </w:p>
    <w:p w14:paraId="78282D90" w14:textId="77777777" w:rsidR="007E13DE" w:rsidRDefault="00000000">
      <w:pPr>
        <w:spacing w:after="10"/>
        <w:ind w:left="-672"/>
        <w:jc w:val="both"/>
      </w:pPr>
      <w:r>
        <w:rPr>
          <w:rFonts w:ascii="Times New Roman" w:eastAsia="Times New Roman" w:hAnsi="Times New Roman" w:cs="Times New Roman"/>
          <w:sz w:val="7"/>
        </w:rPr>
        <w:t xml:space="preserve"> </w:t>
      </w:r>
    </w:p>
    <w:p w14:paraId="3868EA98" w14:textId="77777777" w:rsidR="007E13DE" w:rsidRDefault="00000000">
      <w:pPr>
        <w:spacing w:after="10"/>
        <w:ind w:left="-672"/>
        <w:jc w:val="both"/>
      </w:pPr>
      <w:r>
        <w:rPr>
          <w:rFonts w:ascii="Times New Roman" w:eastAsia="Times New Roman" w:hAnsi="Times New Roman" w:cs="Times New Roman"/>
          <w:sz w:val="7"/>
        </w:rPr>
        <w:t xml:space="preserve"> </w:t>
      </w:r>
    </w:p>
    <w:p w14:paraId="2BFC97AC" w14:textId="77777777" w:rsidR="007E13DE" w:rsidRDefault="00000000">
      <w:pPr>
        <w:spacing w:after="10"/>
        <w:ind w:left="-672"/>
        <w:jc w:val="both"/>
      </w:pPr>
      <w:r>
        <w:rPr>
          <w:rFonts w:ascii="Times New Roman" w:eastAsia="Times New Roman" w:hAnsi="Times New Roman" w:cs="Times New Roman"/>
          <w:sz w:val="7"/>
        </w:rPr>
        <w:t xml:space="preserve"> </w:t>
      </w:r>
    </w:p>
    <w:p w14:paraId="14535BC8" w14:textId="77777777" w:rsidR="007E13DE" w:rsidRDefault="00000000">
      <w:pPr>
        <w:spacing w:after="10"/>
        <w:ind w:left="-672"/>
        <w:jc w:val="both"/>
      </w:pPr>
      <w:r>
        <w:rPr>
          <w:rFonts w:ascii="Times New Roman" w:eastAsia="Times New Roman" w:hAnsi="Times New Roman" w:cs="Times New Roman"/>
          <w:sz w:val="7"/>
        </w:rPr>
        <w:t xml:space="preserve"> </w:t>
      </w:r>
    </w:p>
    <w:p w14:paraId="5CF4C745" w14:textId="77777777" w:rsidR="007E13DE" w:rsidRDefault="00000000">
      <w:pPr>
        <w:spacing w:after="10"/>
        <w:ind w:left="-672"/>
        <w:jc w:val="both"/>
      </w:pPr>
      <w:r>
        <w:rPr>
          <w:rFonts w:ascii="Times New Roman" w:eastAsia="Times New Roman" w:hAnsi="Times New Roman" w:cs="Times New Roman"/>
          <w:sz w:val="7"/>
        </w:rPr>
        <w:t xml:space="preserve"> </w:t>
      </w:r>
    </w:p>
    <w:p w14:paraId="358D8413" w14:textId="77777777" w:rsidR="007E13DE" w:rsidRDefault="00000000">
      <w:pPr>
        <w:spacing w:after="10"/>
        <w:ind w:left="-672"/>
        <w:jc w:val="both"/>
      </w:pPr>
      <w:r>
        <w:rPr>
          <w:rFonts w:ascii="Times New Roman" w:eastAsia="Times New Roman" w:hAnsi="Times New Roman" w:cs="Times New Roman"/>
          <w:sz w:val="7"/>
        </w:rPr>
        <w:t xml:space="preserve"> </w:t>
      </w:r>
    </w:p>
    <w:p w14:paraId="111096DC" w14:textId="77777777" w:rsidR="007E13DE" w:rsidRDefault="00000000">
      <w:pPr>
        <w:spacing w:after="10"/>
        <w:ind w:left="-672"/>
        <w:jc w:val="both"/>
      </w:pPr>
      <w:r>
        <w:rPr>
          <w:rFonts w:ascii="Times New Roman" w:eastAsia="Times New Roman" w:hAnsi="Times New Roman" w:cs="Times New Roman"/>
          <w:sz w:val="7"/>
        </w:rPr>
        <w:t xml:space="preserve"> </w:t>
      </w:r>
    </w:p>
    <w:p w14:paraId="4478341D" w14:textId="77777777" w:rsidR="007E13DE" w:rsidRDefault="00000000">
      <w:pPr>
        <w:spacing w:after="10"/>
        <w:ind w:left="-672"/>
        <w:jc w:val="both"/>
      </w:pPr>
      <w:r>
        <w:rPr>
          <w:rFonts w:ascii="Times New Roman" w:eastAsia="Times New Roman" w:hAnsi="Times New Roman" w:cs="Times New Roman"/>
          <w:sz w:val="7"/>
        </w:rPr>
        <w:t xml:space="preserve"> </w:t>
      </w:r>
    </w:p>
    <w:p w14:paraId="52740D3B" w14:textId="77777777" w:rsidR="007E13DE" w:rsidRDefault="00000000">
      <w:pPr>
        <w:spacing w:after="10"/>
        <w:ind w:left="-672"/>
        <w:jc w:val="both"/>
      </w:pPr>
      <w:r>
        <w:rPr>
          <w:rFonts w:ascii="Times New Roman" w:eastAsia="Times New Roman" w:hAnsi="Times New Roman" w:cs="Times New Roman"/>
          <w:sz w:val="7"/>
        </w:rPr>
        <w:t xml:space="preserve"> </w:t>
      </w:r>
    </w:p>
    <w:p w14:paraId="492C8253" w14:textId="77777777" w:rsidR="007E13DE" w:rsidRDefault="00000000">
      <w:pPr>
        <w:spacing w:after="10"/>
        <w:ind w:left="-672"/>
        <w:jc w:val="both"/>
      </w:pPr>
      <w:r>
        <w:rPr>
          <w:rFonts w:ascii="Times New Roman" w:eastAsia="Times New Roman" w:hAnsi="Times New Roman" w:cs="Times New Roman"/>
          <w:sz w:val="7"/>
        </w:rPr>
        <w:t xml:space="preserve"> </w:t>
      </w:r>
    </w:p>
    <w:p w14:paraId="4B908796" w14:textId="77777777" w:rsidR="007E13DE" w:rsidRDefault="00000000">
      <w:pPr>
        <w:spacing w:after="10"/>
        <w:ind w:left="-672"/>
        <w:jc w:val="both"/>
      </w:pPr>
      <w:r>
        <w:rPr>
          <w:rFonts w:ascii="Times New Roman" w:eastAsia="Times New Roman" w:hAnsi="Times New Roman" w:cs="Times New Roman"/>
          <w:sz w:val="7"/>
        </w:rPr>
        <w:t xml:space="preserve"> </w:t>
      </w:r>
    </w:p>
    <w:p w14:paraId="02AE72BE" w14:textId="77777777" w:rsidR="007E13DE" w:rsidRDefault="00000000">
      <w:pPr>
        <w:spacing w:after="10"/>
        <w:ind w:left="-672"/>
        <w:jc w:val="both"/>
      </w:pPr>
      <w:r>
        <w:rPr>
          <w:rFonts w:ascii="Times New Roman" w:eastAsia="Times New Roman" w:hAnsi="Times New Roman" w:cs="Times New Roman"/>
          <w:sz w:val="7"/>
        </w:rPr>
        <w:t xml:space="preserve"> </w:t>
      </w:r>
    </w:p>
    <w:p w14:paraId="7974900D" w14:textId="77777777" w:rsidR="007E13DE" w:rsidRDefault="00000000">
      <w:pPr>
        <w:spacing w:after="10"/>
        <w:ind w:left="-672"/>
        <w:jc w:val="both"/>
      </w:pPr>
      <w:r>
        <w:rPr>
          <w:rFonts w:ascii="Times New Roman" w:eastAsia="Times New Roman" w:hAnsi="Times New Roman" w:cs="Times New Roman"/>
          <w:sz w:val="7"/>
        </w:rPr>
        <w:t xml:space="preserve"> </w:t>
      </w:r>
    </w:p>
    <w:p w14:paraId="07C7494D"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0353BBDC" w14:textId="77777777" w:rsidR="007E13DE" w:rsidRDefault="00000000">
      <w:pPr>
        <w:spacing w:after="10"/>
        <w:ind w:left="-672"/>
        <w:jc w:val="both"/>
      </w:pPr>
      <w:r>
        <w:rPr>
          <w:rFonts w:ascii="Times New Roman" w:eastAsia="Times New Roman" w:hAnsi="Times New Roman" w:cs="Times New Roman"/>
          <w:sz w:val="7"/>
        </w:rPr>
        <w:t xml:space="preserve"> </w:t>
      </w:r>
    </w:p>
    <w:p w14:paraId="3E5A92D5" w14:textId="77777777" w:rsidR="007E13DE" w:rsidRDefault="00000000">
      <w:pPr>
        <w:spacing w:after="10"/>
        <w:ind w:left="-672"/>
        <w:jc w:val="both"/>
      </w:pPr>
      <w:r>
        <w:rPr>
          <w:rFonts w:ascii="Times New Roman" w:eastAsia="Times New Roman" w:hAnsi="Times New Roman" w:cs="Times New Roman"/>
          <w:sz w:val="7"/>
        </w:rPr>
        <w:t xml:space="preserve"> </w:t>
      </w:r>
    </w:p>
    <w:p w14:paraId="33BFB9CB" w14:textId="77777777" w:rsidR="007E13DE" w:rsidRDefault="00000000">
      <w:pPr>
        <w:spacing w:after="10"/>
        <w:ind w:left="-672"/>
        <w:jc w:val="both"/>
      </w:pPr>
      <w:r>
        <w:rPr>
          <w:rFonts w:ascii="Times New Roman" w:eastAsia="Times New Roman" w:hAnsi="Times New Roman" w:cs="Times New Roman"/>
          <w:sz w:val="7"/>
        </w:rPr>
        <w:t xml:space="preserve"> </w:t>
      </w:r>
    </w:p>
    <w:p w14:paraId="5D476501" w14:textId="77777777" w:rsidR="007E13DE" w:rsidRDefault="00000000">
      <w:pPr>
        <w:spacing w:after="10"/>
        <w:ind w:left="-672"/>
        <w:jc w:val="both"/>
      </w:pPr>
      <w:r>
        <w:rPr>
          <w:rFonts w:ascii="Times New Roman" w:eastAsia="Times New Roman" w:hAnsi="Times New Roman" w:cs="Times New Roman"/>
          <w:sz w:val="7"/>
        </w:rPr>
        <w:t xml:space="preserve"> </w:t>
      </w:r>
    </w:p>
    <w:p w14:paraId="16FAC36A" w14:textId="77777777" w:rsidR="007E13DE" w:rsidRDefault="00000000">
      <w:pPr>
        <w:spacing w:after="0"/>
        <w:ind w:left="-672"/>
        <w:jc w:val="both"/>
      </w:pPr>
      <w:r>
        <w:rPr>
          <w:rFonts w:ascii="Times New Roman" w:eastAsia="Times New Roman" w:hAnsi="Times New Roman" w:cs="Times New Roman"/>
          <w:sz w:val="7"/>
        </w:rPr>
        <w:t xml:space="preserve"> </w:t>
      </w:r>
    </w:p>
    <w:p w14:paraId="2D276A23" w14:textId="77777777" w:rsidR="007E13DE" w:rsidRDefault="00000000">
      <w:pPr>
        <w:spacing w:after="10"/>
        <w:ind w:left="-672"/>
        <w:jc w:val="both"/>
      </w:pPr>
      <w:r>
        <w:rPr>
          <w:rFonts w:ascii="Times New Roman" w:eastAsia="Times New Roman" w:hAnsi="Times New Roman" w:cs="Times New Roman"/>
          <w:sz w:val="7"/>
        </w:rPr>
        <w:t xml:space="preserve"> </w:t>
      </w:r>
    </w:p>
    <w:p w14:paraId="5C1F9622" w14:textId="77777777" w:rsidR="007E13DE" w:rsidRDefault="00000000">
      <w:pPr>
        <w:spacing w:after="10"/>
        <w:ind w:left="-672"/>
        <w:jc w:val="both"/>
      </w:pPr>
      <w:r>
        <w:rPr>
          <w:rFonts w:ascii="Times New Roman" w:eastAsia="Times New Roman" w:hAnsi="Times New Roman" w:cs="Times New Roman"/>
          <w:sz w:val="7"/>
        </w:rPr>
        <w:t xml:space="preserve"> </w:t>
      </w:r>
    </w:p>
    <w:p w14:paraId="42CF72E3" w14:textId="77777777" w:rsidR="007E13DE" w:rsidRDefault="00000000">
      <w:pPr>
        <w:spacing w:after="10"/>
        <w:ind w:left="-672"/>
        <w:jc w:val="both"/>
      </w:pPr>
      <w:r>
        <w:rPr>
          <w:rFonts w:ascii="Times New Roman" w:eastAsia="Times New Roman" w:hAnsi="Times New Roman" w:cs="Times New Roman"/>
          <w:sz w:val="7"/>
        </w:rPr>
        <w:t xml:space="preserve"> </w:t>
      </w:r>
    </w:p>
    <w:p w14:paraId="2B7754D2" w14:textId="77777777" w:rsidR="007E13DE" w:rsidRDefault="00000000">
      <w:pPr>
        <w:spacing w:after="10"/>
        <w:ind w:left="-672"/>
        <w:jc w:val="both"/>
      </w:pPr>
      <w:r>
        <w:rPr>
          <w:rFonts w:ascii="Times New Roman" w:eastAsia="Times New Roman" w:hAnsi="Times New Roman" w:cs="Times New Roman"/>
          <w:sz w:val="7"/>
        </w:rPr>
        <w:t xml:space="preserve"> </w:t>
      </w:r>
    </w:p>
    <w:p w14:paraId="1BFDB46A" w14:textId="77777777" w:rsidR="007E13DE" w:rsidRDefault="00000000">
      <w:pPr>
        <w:spacing w:after="10"/>
        <w:ind w:left="-672"/>
        <w:jc w:val="both"/>
      </w:pPr>
      <w:r>
        <w:rPr>
          <w:rFonts w:ascii="Times New Roman" w:eastAsia="Times New Roman" w:hAnsi="Times New Roman" w:cs="Times New Roman"/>
          <w:sz w:val="7"/>
        </w:rPr>
        <w:t xml:space="preserve"> </w:t>
      </w:r>
    </w:p>
    <w:p w14:paraId="6EFEFBDB" w14:textId="77777777" w:rsidR="007E13DE" w:rsidRDefault="00000000">
      <w:pPr>
        <w:spacing w:after="10"/>
        <w:ind w:left="-672"/>
        <w:jc w:val="both"/>
      </w:pPr>
      <w:r>
        <w:rPr>
          <w:rFonts w:ascii="Times New Roman" w:eastAsia="Times New Roman" w:hAnsi="Times New Roman" w:cs="Times New Roman"/>
          <w:sz w:val="7"/>
        </w:rPr>
        <w:t xml:space="preserve"> </w:t>
      </w:r>
    </w:p>
    <w:p w14:paraId="4710E6FC" w14:textId="77777777" w:rsidR="007E13DE" w:rsidRDefault="00000000">
      <w:pPr>
        <w:spacing w:after="10"/>
        <w:ind w:left="-672"/>
        <w:jc w:val="both"/>
      </w:pPr>
      <w:r>
        <w:rPr>
          <w:rFonts w:ascii="Times New Roman" w:eastAsia="Times New Roman" w:hAnsi="Times New Roman" w:cs="Times New Roman"/>
          <w:sz w:val="7"/>
        </w:rPr>
        <w:t xml:space="preserve"> </w:t>
      </w:r>
    </w:p>
    <w:p w14:paraId="6E7A3712" w14:textId="77777777" w:rsidR="007E13DE" w:rsidRDefault="00000000">
      <w:pPr>
        <w:spacing w:after="10"/>
        <w:ind w:left="-672"/>
        <w:jc w:val="both"/>
      </w:pPr>
      <w:r>
        <w:rPr>
          <w:rFonts w:ascii="Times New Roman" w:eastAsia="Times New Roman" w:hAnsi="Times New Roman" w:cs="Times New Roman"/>
          <w:sz w:val="7"/>
        </w:rPr>
        <w:t xml:space="preserve"> </w:t>
      </w:r>
    </w:p>
    <w:p w14:paraId="619FB276" w14:textId="77777777" w:rsidR="007E13DE" w:rsidRDefault="00000000">
      <w:pPr>
        <w:spacing w:after="10"/>
        <w:ind w:left="-672"/>
        <w:jc w:val="both"/>
      </w:pPr>
      <w:r>
        <w:rPr>
          <w:rFonts w:ascii="Times New Roman" w:eastAsia="Times New Roman" w:hAnsi="Times New Roman" w:cs="Times New Roman"/>
          <w:sz w:val="7"/>
        </w:rPr>
        <w:t xml:space="preserve"> </w:t>
      </w:r>
    </w:p>
    <w:p w14:paraId="468E3BB3" w14:textId="77777777" w:rsidR="007E13DE" w:rsidRDefault="00000000">
      <w:pPr>
        <w:spacing w:after="10"/>
        <w:ind w:left="-672"/>
        <w:jc w:val="both"/>
      </w:pPr>
      <w:r>
        <w:rPr>
          <w:rFonts w:ascii="Times New Roman" w:eastAsia="Times New Roman" w:hAnsi="Times New Roman" w:cs="Times New Roman"/>
          <w:sz w:val="7"/>
        </w:rPr>
        <w:t xml:space="preserve"> </w:t>
      </w:r>
    </w:p>
    <w:p w14:paraId="59950BE8" w14:textId="77777777" w:rsidR="007E13DE" w:rsidRDefault="00000000">
      <w:pPr>
        <w:spacing w:after="10"/>
        <w:ind w:left="-672"/>
        <w:jc w:val="both"/>
      </w:pPr>
      <w:r>
        <w:rPr>
          <w:rFonts w:ascii="Times New Roman" w:eastAsia="Times New Roman" w:hAnsi="Times New Roman" w:cs="Times New Roman"/>
          <w:sz w:val="7"/>
        </w:rPr>
        <w:t xml:space="preserve"> </w:t>
      </w:r>
    </w:p>
    <w:p w14:paraId="45F6A0DE" w14:textId="77777777" w:rsidR="007E13DE" w:rsidRDefault="00000000">
      <w:pPr>
        <w:spacing w:after="10"/>
        <w:ind w:left="-672"/>
        <w:jc w:val="both"/>
      </w:pPr>
      <w:r>
        <w:rPr>
          <w:rFonts w:ascii="Times New Roman" w:eastAsia="Times New Roman" w:hAnsi="Times New Roman" w:cs="Times New Roman"/>
          <w:sz w:val="7"/>
        </w:rPr>
        <w:t xml:space="preserve"> </w:t>
      </w:r>
    </w:p>
    <w:p w14:paraId="21863978" w14:textId="77777777" w:rsidR="007E13DE" w:rsidRDefault="00000000">
      <w:pPr>
        <w:spacing w:after="10"/>
        <w:ind w:left="-672"/>
        <w:jc w:val="both"/>
      </w:pPr>
      <w:r>
        <w:rPr>
          <w:rFonts w:ascii="Times New Roman" w:eastAsia="Times New Roman" w:hAnsi="Times New Roman" w:cs="Times New Roman"/>
          <w:sz w:val="7"/>
        </w:rPr>
        <w:t xml:space="preserve"> </w:t>
      </w:r>
    </w:p>
    <w:p w14:paraId="35577BBF" w14:textId="77777777" w:rsidR="007E13DE" w:rsidRDefault="00000000">
      <w:pPr>
        <w:spacing w:after="10"/>
        <w:ind w:left="-672"/>
        <w:jc w:val="both"/>
      </w:pPr>
      <w:r>
        <w:rPr>
          <w:rFonts w:ascii="Times New Roman" w:eastAsia="Times New Roman" w:hAnsi="Times New Roman" w:cs="Times New Roman"/>
          <w:sz w:val="7"/>
        </w:rPr>
        <w:t xml:space="preserve"> </w:t>
      </w:r>
    </w:p>
    <w:p w14:paraId="78332F57" w14:textId="77777777" w:rsidR="007E13DE" w:rsidRDefault="00000000">
      <w:pPr>
        <w:spacing w:after="10"/>
        <w:ind w:left="-672"/>
        <w:jc w:val="both"/>
      </w:pPr>
      <w:r>
        <w:rPr>
          <w:rFonts w:ascii="Times New Roman" w:eastAsia="Times New Roman" w:hAnsi="Times New Roman" w:cs="Times New Roman"/>
          <w:sz w:val="7"/>
        </w:rPr>
        <w:t xml:space="preserve"> </w:t>
      </w:r>
    </w:p>
    <w:p w14:paraId="5EAC1E74" w14:textId="77777777" w:rsidR="007E13DE" w:rsidRDefault="00000000">
      <w:pPr>
        <w:spacing w:after="10"/>
        <w:ind w:left="-672"/>
        <w:jc w:val="both"/>
      </w:pPr>
      <w:r>
        <w:rPr>
          <w:rFonts w:ascii="Times New Roman" w:eastAsia="Times New Roman" w:hAnsi="Times New Roman" w:cs="Times New Roman"/>
          <w:sz w:val="7"/>
        </w:rPr>
        <w:t xml:space="preserve"> </w:t>
      </w:r>
    </w:p>
    <w:p w14:paraId="0C19401B" w14:textId="77777777" w:rsidR="007E13DE" w:rsidRDefault="00000000">
      <w:pPr>
        <w:spacing w:after="10"/>
        <w:ind w:left="-672"/>
        <w:jc w:val="both"/>
      </w:pPr>
      <w:r>
        <w:rPr>
          <w:rFonts w:ascii="Times New Roman" w:eastAsia="Times New Roman" w:hAnsi="Times New Roman" w:cs="Times New Roman"/>
          <w:sz w:val="7"/>
        </w:rPr>
        <w:t xml:space="preserve"> </w:t>
      </w:r>
    </w:p>
    <w:p w14:paraId="3FBCF7DE" w14:textId="77777777" w:rsidR="007E13DE" w:rsidRDefault="00000000">
      <w:pPr>
        <w:spacing w:after="10"/>
        <w:ind w:left="-672"/>
        <w:jc w:val="both"/>
      </w:pPr>
      <w:r>
        <w:rPr>
          <w:rFonts w:ascii="Times New Roman" w:eastAsia="Times New Roman" w:hAnsi="Times New Roman" w:cs="Times New Roman"/>
          <w:sz w:val="7"/>
        </w:rPr>
        <w:t xml:space="preserve"> </w:t>
      </w:r>
    </w:p>
    <w:p w14:paraId="4F7DD1FE" w14:textId="77777777" w:rsidR="007E13DE" w:rsidRDefault="00000000">
      <w:pPr>
        <w:spacing w:after="10"/>
        <w:ind w:left="-672"/>
        <w:jc w:val="both"/>
      </w:pPr>
      <w:r>
        <w:rPr>
          <w:rFonts w:ascii="Times New Roman" w:eastAsia="Times New Roman" w:hAnsi="Times New Roman" w:cs="Times New Roman"/>
          <w:sz w:val="7"/>
        </w:rPr>
        <w:t xml:space="preserve"> </w:t>
      </w:r>
    </w:p>
    <w:p w14:paraId="28EDEF04" w14:textId="77777777" w:rsidR="007E13DE" w:rsidRDefault="00000000">
      <w:pPr>
        <w:spacing w:after="10"/>
        <w:ind w:left="-672"/>
        <w:jc w:val="both"/>
      </w:pPr>
      <w:r>
        <w:rPr>
          <w:rFonts w:ascii="Times New Roman" w:eastAsia="Times New Roman" w:hAnsi="Times New Roman" w:cs="Times New Roman"/>
          <w:sz w:val="7"/>
        </w:rPr>
        <w:t xml:space="preserve"> </w:t>
      </w:r>
    </w:p>
    <w:p w14:paraId="4AF73BF4" w14:textId="77777777" w:rsidR="007E13DE" w:rsidRDefault="00000000">
      <w:pPr>
        <w:spacing w:after="10"/>
        <w:ind w:left="-672"/>
        <w:jc w:val="both"/>
      </w:pPr>
      <w:r>
        <w:rPr>
          <w:rFonts w:ascii="Times New Roman" w:eastAsia="Times New Roman" w:hAnsi="Times New Roman" w:cs="Times New Roman"/>
          <w:sz w:val="7"/>
        </w:rPr>
        <w:t xml:space="preserve"> </w:t>
      </w:r>
    </w:p>
    <w:p w14:paraId="09C3CEC5" w14:textId="77777777" w:rsidR="007E13DE" w:rsidRDefault="00000000">
      <w:pPr>
        <w:spacing w:after="10"/>
        <w:ind w:left="-672"/>
        <w:jc w:val="both"/>
      </w:pPr>
      <w:r>
        <w:rPr>
          <w:rFonts w:ascii="Times New Roman" w:eastAsia="Times New Roman" w:hAnsi="Times New Roman" w:cs="Times New Roman"/>
          <w:sz w:val="7"/>
        </w:rPr>
        <w:t xml:space="preserve"> </w:t>
      </w:r>
    </w:p>
    <w:p w14:paraId="37E007DA" w14:textId="77777777" w:rsidR="007E13DE" w:rsidRDefault="00000000">
      <w:pPr>
        <w:spacing w:after="10"/>
        <w:ind w:left="-672"/>
        <w:jc w:val="both"/>
      </w:pPr>
      <w:r>
        <w:rPr>
          <w:rFonts w:ascii="Times New Roman" w:eastAsia="Times New Roman" w:hAnsi="Times New Roman" w:cs="Times New Roman"/>
          <w:sz w:val="7"/>
        </w:rPr>
        <w:t xml:space="preserve"> </w:t>
      </w:r>
    </w:p>
    <w:p w14:paraId="2899F716" w14:textId="77777777" w:rsidR="007E13DE" w:rsidRDefault="00000000">
      <w:pPr>
        <w:spacing w:after="10"/>
        <w:ind w:left="-672"/>
        <w:jc w:val="both"/>
      </w:pPr>
      <w:r>
        <w:rPr>
          <w:rFonts w:ascii="Times New Roman" w:eastAsia="Times New Roman" w:hAnsi="Times New Roman" w:cs="Times New Roman"/>
          <w:sz w:val="7"/>
        </w:rPr>
        <w:t xml:space="preserve"> </w:t>
      </w:r>
    </w:p>
    <w:p w14:paraId="35A8C602" w14:textId="77777777" w:rsidR="007E13DE" w:rsidRDefault="00000000">
      <w:pPr>
        <w:spacing w:after="10"/>
        <w:ind w:left="-672"/>
        <w:jc w:val="both"/>
      </w:pPr>
      <w:r>
        <w:rPr>
          <w:rFonts w:ascii="Times New Roman" w:eastAsia="Times New Roman" w:hAnsi="Times New Roman" w:cs="Times New Roman"/>
          <w:sz w:val="7"/>
        </w:rPr>
        <w:t xml:space="preserve"> </w:t>
      </w:r>
    </w:p>
    <w:p w14:paraId="26C10B5A" w14:textId="77777777" w:rsidR="007E13DE" w:rsidRDefault="00000000">
      <w:pPr>
        <w:spacing w:after="10"/>
        <w:ind w:left="-672"/>
        <w:jc w:val="both"/>
      </w:pPr>
      <w:r>
        <w:rPr>
          <w:rFonts w:ascii="Times New Roman" w:eastAsia="Times New Roman" w:hAnsi="Times New Roman" w:cs="Times New Roman"/>
          <w:sz w:val="7"/>
        </w:rPr>
        <w:t xml:space="preserve"> </w:t>
      </w:r>
    </w:p>
    <w:p w14:paraId="56DD4041" w14:textId="77777777" w:rsidR="007E13DE" w:rsidRDefault="00000000">
      <w:pPr>
        <w:spacing w:after="10"/>
        <w:ind w:left="-672"/>
        <w:jc w:val="both"/>
      </w:pPr>
      <w:r>
        <w:rPr>
          <w:rFonts w:ascii="Times New Roman" w:eastAsia="Times New Roman" w:hAnsi="Times New Roman" w:cs="Times New Roman"/>
          <w:sz w:val="7"/>
        </w:rPr>
        <w:t xml:space="preserve"> </w:t>
      </w:r>
    </w:p>
    <w:p w14:paraId="00F6DF2D" w14:textId="77777777" w:rsidR="007E13DE" w:rsidRDefault="00000000">
      <w:pPr>
        <w:spacing w:after="10"/>
        <w:ind w:left="-672"/>
        <w:jc w:val="both"/>
      </w:pPr>
      <w:r>
        <w:rPr>
          <w:rFonts w:ascii="Times New Roman" w:eastAsia="Times New Roman" w:hAnsi="Times New Roman" w:cs="Times New Roman"/>
          <w:sz w:val="7"/>
        </w:rPr>
        <w:t xml:space="preserve"> </w:t>
      </w:r>
    </w:p>
    <w:p w14:paraId="19DC617F" w14:textId="77777777" w:rsidR="007E13DE" w:rsidRDefault="00000000">
      <w:pPr>
        <w:spacing w:after="10"/>
        <w:ind w:left="-672"/>
        <w:jc w:val="both"/>
      </w:pPr>
      <w:r>
        <w:rPr>
          <w:rFonts w:ascii="Times New Roman" w:eastAsia="Times New Roman" w:hAnsi="Times New Roman" w:cs="Times New Roman"/>
          <w:sz w:val="7"/>
        </w:rPr>
        <w:t xml:space="preserve"> </w:t>
      </w:r>
    </w:p>
    <w:p w14:paraId="3694F5B1" w14:textId="77777777" w:rsidR="007E13DE" w:rsidRDefault="00000000">
      <w:pPr>
        <w:spacing w:after="10"/>
        <w:ind w:left="-672"/>
        <w:jc w:val="both"/>
      </w:pPr>
      <w:r>
        <w:rPr>
          <w:rFonts w:ascii="Times New Roman" w:eastAsia="Times New Roman" w:hAnsi="Times New Roman" w:cs="Times New Roman"/>
          <w:sz w:val="7"/>
        </w:rPr>
        <w:t xml:space="preserve"> </w:t>
      </w:r>
    </w:p>
    <w:p w14:paraId="0BA26141" w14:textId="77777777" w:rsidR="007E13DE" w:rsidRDefault="00000000">
      <w:pPr>
        <w:spacing w:after="10"/>
        <w:ind w:left="-672"/>
        <w:jc w:val="both"/>
      </w:pPr>
      <w:r>
        <w:rPr>
          <w:rFonts w:ascii="Times New Roman" w:eastAsia="Times New Roman" w:hAnsi="Times New Roman" w:cs="Times New Roman"/>
          <w:sz w:val="7"/>
        </w:rPr>
        <w:t xml:space="preserve"> </w:t>
      </w:r>
    </w:p>
    <w:p w14:paraId="6F79C397" w14:textId="77777777" w:rsidR="007E13DE" w:rsidRDefault="00000000">
      <w:pPr>
        <w:spacing w:after="10"/>
        <w:ind w:left="-672"/>
        <w:jc w:val="both"/>
      </w:pPr>
      <w:r>
        <w:rPr>
          <w:rFonts w:ascii="Times New Roman" w:eastAsia="Times New Roman" w:hAnsi="Times New Roman" w:cs="Times New Roman"/>
          <w:sz w:val="7"/>
        </w:rPr>
        <w:t xml:space="preserve"> </w:t>
      </w:r>
    </w:p>
    <w:p w14:paraId="2D5174EA" w14:textId="77777777" w:rsidR="007E13DE" w:rsidRDefault="00000000">
      <w:pPr>
        <w:spacing w:after="10"/>
        <w:ind w:left="-672"/>
        <w:jc w:val="both"/>
      </w:pPr>
      <w:r>
        <w:rPr>
          <w:rFonts w:ascii="Times New Roman" w:eastAsia="Times New Roman" w:hAnsi="Times New Roman" w:cs="Times New Roman"/>
          <w:sz w:val="7"/>
        </w:rPr>
        <w:t xml:space="preserve"> </w:t>
      </w:r>
    </w:p>
    <w:p w14:paraId="28FEEEA1" w14:textId="77777777" w:rsidR="007E13DE" w:rsidRDefault="00000000">
      <w:pPr>
        <w:spacing w:after="10"/>
        <w:ind w:left="-672"/>
        <w:jc w:val="both"/>
      </w:pPr>
      <w:r>
        <w:rPr>
          <w:rFonts w:ascii="Times New Roman" w:eastAsia="Times New Roman" w:hAnsi="Times New Roman" w:cs="Times New Roman"/>
          <w:sz w:val="7"/>
        </w:rPr>
        <w:t xml:space="preserve"> </w:t>
      </w:r>
    </w:p>
    <w:p w14:paraId="5715641D" w14:textId="77777777" w:rsidR="007E13DE" w:rsidRDefault="00000000">
      <w:pPr>
        <w:spacing w:after="10"/>
        <w:ind w:left="-672"/>
        <w:jc w:val="both"/>
      </w:pPr>
      <w:r>
        <w:rPr>
          <w:rFonts w:ascii="Times New Roman" w:eastAsia="Times New Roman" w:hAnsi="Times New Roman" w:cs="Times New Roman"/>
          <w:sz w:val="7"/>
        </w:rPr>
        <w:t xml:space="preserve"> </w:t>
      </w:r>
    </w:p>
    <w:p w14:paraId="6AAE8D44" w14:textId="77777777" w:rsidR="007E13DE" w:rsidRDefault="00000000">
      <w:pPr>
        <w:spacing w:after="10"/>
        <w:ind w:left="-672"/>
        <w:jc w:val="both"/>
      </w:pPr>
      <w:r>
        <w:rPr>
          <w:rFonts w:ascii="Times New Roman" w:eastAsia="Times New Roman" w:hAnsi="Times New Roman" w:cs="Times New Roman"/>
          <w:sz w:val="7"/>
        </w:rPr>
        <w:t xml:space="preserve"> </w:t>
      </w:r>
    </w:p>
    <w:p w14:paraId="456E56A6" w14:textId="77777777" w:rsidR="007E13DE" w:rsidRDefault="00000000">
      <w:pPr>
        <w:spacing w:after="10"/>
        <w:ind w:left="-672"/>
        <w:jc w:val="both"/>
      </w:pPr>
      <w:r>
        <w:rPr>
          <w:rFonts w:ascii="Times New Roman" w:eastAsia="Times New Roman" w:hAnsi="Times New Roman" w:cs="Times New Roman"/>
          <w:sz w:val="7"/>
        </w:rPr>
        <w:t xml:space="preserve"> </w:t>
      </w:r>
    </w:p>
    <w:p w14:paraId="34FEFC31" w14:textId="77777777" w:rsidR="007E13DE" w:rsidRDefault="00000000">
      <w:pPr>
        <w:spacing w:after="10"/>
        <w:ind w:left="-672"/>
        <w:jc w:val="both"/>
      </w:pPr>
      <w:r>
        <w:rPr>
          <w:rFonts w:ascii="Times New Roman" w:eastAsia="Times New Roman" w:hAnsi="Times New Roman" w:cs="Times New Roman"/>
          <w:sz w:val="7"/>
        </w:rPr>
        <w:t xml:space="preserve"> </w:t>
      </w:r>
    </w:p>
    <w:p w14:paraId="351DAE21" w14:textId="77777777" w:rsidR="007E13DE" w:rsidRDefault="00000000">
      <w:pPr>
        <w:spacing w:after="10"/>
        <w:ind w:left="-672"/>
        <w:jc w:val="both"/>
      </w:pPr>
      <w:r>
        <w:rPr>
          <w:rFonts w:ascii="Times New Roman" w:eastAsia="Times New Roman" w:hAnsi="Times New Roman" w:cs="Times New Roman"/>
          <w:sz w:val="7"/>
        </w:rPr>
        <w:t xml:space="preserve"> </w:t>
      </w:r>
    </w:p>
    <w:p w14:paraId="4EAE0905" w14:textId="77777777" w:rsidR="007E13DE" w:rsidRDefault="00000000">
      <w:pPr>
        <w:spacing w:after="10"/>
        <w:ind w:left="-672"/>
        <w:jc w:val="both"/>
      </w:pPr>
      <w:r>
        <w:rPr>
          <w:rFonts w:ascii="Times New Roman" w:eastAsia="Times New Roman" w:hAnsi="Times New Roman" w:cs="Times New Roman"/>
          <w:sz w:val="7"/>
        </w:rPr>
        <w:t xml:space="preserve"> </w:t>
      </w:r>
    </w:p>
    <w:p w14:paraId="059CE747"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6F6135D4" w14:textId="77777777" w:rsidR="007E13DE" w:rsidRDefault="00000000">
      <w:pPr>
        <w:spacing w:after="10"/>
        <w:ind w:left="-672"/>
        <w:jc w:val="both"/>
      </w:pPr>
      <w:r>
        <w:rPr>
          <w:rFonts w:ascii="Times New Roman" w:eastAsia="Times New Roman" w:hAnsi="Times New Roman" w:cs="Times New Roman"/>
          <w:sz w:val="7"/>
        </w:rPr>
        <w:t xml:space="preserve"> </w:t>
      </w:r>
    </w:p>
    <w:p w14:paraId="7F5AF834" w14:textId="77777777" w:rsidR="007E13DE" w:rsidRDefault="00000000">
      <w:pPr>
        <w:spacing w:after="10"/>
        <w:ind w:left="-672"/>
        <w:jc w:val="both"/>
      </w:pPr>
      <w:r>
        <w:rPr>
          <w:rFonts w:ascii="Times New Roman" w:eastAsia="Times New Roman" w:hAnsi="Times New Roman" w:cs="Times New Roman"/>
          <w:sz w:val="7"/>
        </w:rPr>
        <w:t xml:space="preserve"> </w:t>
      </w:r>
    </w:p>
    <w:p w14:paraId="5FF0DC33" w14:textId="77777777" w:rsidR="007E13DE" w:rsidRDefault="00000000">
      <w:pPr>
        <w:spacing w:after="10"/>
        <w:ind w:left="-672"/>
        <w:jc w:val="both"/>
      </w:pPr>
      <w:r>
        <w:rPr>
          <w:rFonts w:ascii="Times New Roman" w:eastAsia="Times New Roman" w:hAnsi="Times New Roman" w:cs="Times New Roman"/>
          <w:sz w:val="7"/>
        </w:rPr>
        <w:t xml:space="preserve"> </w:t>
      </w:r>
    </w:p>
    <w:p w14:paraId="363C6D5D" w14:textId="77777777" w:rsidR="007E13DE" w:rsidRDefault="00000000">
      <w:pPr>
        <w:spacing w:after="10"/>
        <w:ind w:left="-672"/>
        <w:jc w:val="both"/>
      </w:pPr>
      <w:r>
        <w:rPr>
          <w:rFonts w:ascii="Times New Roman" w:eastAsia="Times New Roman" w:hAnsi="Times New Roman" w:cs="Times New Roman"/>
          <w:sz w:val="7"/>
        </w:rPr>
        <w:t xml:space="preserve"> </w:t>
      </w:r>
    </w:p>
    <w:p w14:paraId="473C64A6" w14:textId="77777777" w:rsidR="007E13DE" w:rsidRDefault="00000000">
      <w:pPr>
        <w:spacing w:after="10"/>
        <w:ind w:left="-672"/>
        <w:jc w:val="both"/>
      </w:pPr>
      <w:r>
        <w:rPr>
          <w:rFonts w:ascii="Times New Roman" w:eastAsia="Times New Roman" w:hAnsi="Times New Roman" w:cs="Times New Roman"/>
          <w:sz w:val="7"/>
        </w:rPr>
        <w:t xml:space="preserve"> </w:t>
      </w:r>
    </w:p>
    <w:p w14:paraId="72EE024D" w14:textId="77777777" w:rsidR="007E13DE" w:rsidRDefault="00000000">
      <w:pPr>
        <w:spacing w:after="10"/>
        <w:ind w:left="-672"/>
        <w:jc w:val="both"/>
      </w:pPr>
      <w:r>
        <w:rPr>
          <w:rFonts w:ascii="Times New Roman" w:eastAsia="Times New Roman" w:hAnsi="Times New Roman" w:cs="Times New Roman"/>
          <w:sz w:val="7"/>
        </w:rPr>
        <w:t xml:space="preserve"> </w:t>
      </w:r>
    </w:p>
    <w:p w14:paraId="2FDB478C" w14:textId="77777777" w:rsidR="007E13DE" w:rsidRDefault="00000000">
      <w:pPr>
        <w:spacing w:after="10"/>
        <w:ind w:left="-672"/>
        <w:jc w:val="both"/>
      </w:pPr>
      <w:r>
        <w:rPr>
          <w:rFonts w:ascii="Times New Roman" w:eastAsia="Times New Roman" w:hAnsi="Times New Roman" w:cs="Times New Roman"/>
          <w:sz w:val="7"/>
        </w:rPr>
        <w:t xml:space="preserve"> </w:t>
      </w:r>
    </w:p>
    <w:p w14:paraId="0A549E34" w14:textId="77777777" w:rsidR="007E13DE" w:rsidRDefault="00000000">
      <w:pPr>
        <w:spacing w:after="10"/>
        <w:ind w:left="-672"/>
        <w:jc w:val="both"/>
      </w:pPr>
      <w:r>
        <w:rPr>
          <w:rFonts w:ascii="Times New Roman" w:eastAsia="Times New Roman" w:hAnsi="Times New Roman" w:cs="Times New Roman"/>
          <w:sz w:val="7"/>
        </w:rPr>
        <w:t xml:space="preserve"> </w:t>
      </w:r>
    </w:p>
    <w:p w14:paraId="6B45EA49" w14:textId="77777777" w:rsidR="007E13DE" w:rsidRDefault="00000000">
      <w:pPr>
        <w:spacing w:after="10"/>
        <w:ind w:left="-672"/>
        <w:jc w:val="both"/>
      </w:pPr>
      <w:r>
        <w:rPr>
          <w:rFonts w:ascii="Times New Roman" w:eastAsia="Times New Roman" w:hAnsi="Times New Roman" w:cs="Times New Roman"/>
          <w:sz w:val="7"/>
        </w:rPr>
        <w:t xml:space="preserve"> </w:t>
      </w:r>
    </w:p>
    <w:p w14:paraId="7439D19A" w14:textId="77777777" w:rsidR="007E13DE" w:rsidRDefault="00000000">
      <w:pPr>
        <w:spacing w:after="10"/>
        <w:ind w:left="-672"/>
        <w:jc w:val="both"/>
      </w:pPr>
      <w:r>
        <w:rPr>
          <w:rFonts w:ascii="Times New Roman" w:eastAsia="Times New Roman" w:hAnsi="Times New Roman" w:cs="Times New Roman"/>
          <w:sz w:val="7"/>
        </w:rPr>
        <w:t xml:space="preserve"> </w:t>
      </w:r>
    </w:p>
    <w:p w14:paraId="692AEE1D" w14:textId="77777777" w:rsidR="007E13DE" w:rsidRDefault="00000000">
      <w:pPr>
        <w:spacing w:after="10"/>
        <w:ind w:left="-672"/>
        <w:jc w:val="both"/>
      </w:pPr>
      <w:r>
        <w:rPr>
          <w:rFonts w:ascii="Times New Roman" w:eastAsia="Times New Roman" w:hAnsi="Times New Roman" w:cs="Times New Roman"/>
          <w:sz w:val="7"/>
        </w:rPr>
        <w:t xml:space="preserve"> </w:t>
      </w:r>
    </w:p>
    <w:p w14:paraId="2EFDC167" w14:textId="77777777" w:rsidR="007E13DE" w:rsidRDefault="00000000">
      <w:pPr>
        <w:spacing w:after="10"/>
        <w:ind w:left="-672"/>
        <w:jc w:val="both"/>
      </w:pPr>
      <w:r>
        <w:rPr>
          <w:rFonts w:ascii="Times New Roman" w:eastAsia="Times New Roman" w:hAnsi="Times New Roman" w:cs="Times New Roman"/>
          <w:sz w:val="7"/>
        </w:rPr>
        <w:t xml:space="preserve"> </w:t>
      </w:r>
    </w:p>
    <w:p w14:paraId="57F1515A" w14:textId="77777777" w:rsidR="007E13DE" w:rsidRDefault="00000000">
      <w:pPr>
        <w:spacing w:after="10"/>
        <w:ind w:left="-672"/>
        <w:jc w:val="both"/>
      </w:pPr>
      <w:r>
        <w:rPr>
          <w:rFonts w:ascii="Times New Roman" w:eastAsia="Times New Roman" w:hAnsi="Times New Roman" w:cs="Times New Roman"/>
          <w:sz w:val="7"/>
        </w:rPr>
        <w:t xml:space="preserve"> </w:t>
      </w:r>
    </w:p>
    <w:p w14:paraId="5FCAC7BB" w14:textId="77777777" w:rsidR="007E13DE" w:rsidRDefault="00000000">
      <w:pPr>
        <w:spacing w:after="10"/>
        <w:ind w:left="-672"/>
        <w:jc w:val="both"/>
      </w:pPr>
      <w:r>
        <w:rPr>
          <w:rFonts w:ascii="Times New Roman" w:eastAsia="Times New Roman" w:hAnsi="Times New Roman" w:cs="Times New Roman"/>
          <w:sz w:val="7"/>
        </w:rPr>
        <w:t xml:space="preserve"> </w:t>
      </w:r>
    </w:p>
    <w:p w14:paraId="015D2934" w14:textId="77777777" w:rsidR="007E13DE" w:rsidRDefault="00000000">
      <w:pPr>
        <w:spacing w:after="10"/>
        <w:ind w:left="-672"/>
        <w:jc w:val="both"/>
      </w:pPr>
      <w:r>
        <w:rPr>
          <w:rFonts w:ascii="Times New Roman" w:eastAsia="Times New Roman" w:hAnsi="Times New Roman" w:cs="Times New Roman"/>
          <w:sz w:val="7"/>
        </w:rPr>
        <w:t xml:space="preserve"> </w:t>
      </w:r>
    </w:p>
    <w:p w14:paraId="6E026251" w14:textId="77777777" w:rsidR="007E13DE" w:rsidRDefault="00000000">
      <w:pPr>
        <w:spacing w:after="10"/>
        <w:ind w:left="-672"/>
        <w:jc w:val="both"/>
      </w:pPr>
      <w:r>
        <w:rPr>
          <w:rFonts w:ascii="Times New Roman" w:eastAsia="Times New Roman" w:hAnsi="Times New Roman" w:cs="Times New Roman"/>
          <w:sz w:val="7"/>
        </w:rPr>
        <w:t xml:space="preserve"> </w:t>
      </w:r>
    </w:p>
    <w:p w14:paraId="6C82A0A1" w14:textId="77777777" w:rsidR="007E13DE" w:rsidRDefault="00000000">
      <w:pPr>
        <w:spacing w:after="10"/>
        <w:ind w:left="-672"/>
        <w:jc w:val="both"/>
      </w:pPr>
      <w:r>
        <w:rPr>
          <w:rFonts w:ascii="Times New Roman" w:eastAsia="Times New Roman" w:hAnsi="Times New Roman" w:cs="Times New Roman"/>
          <w:sz w:val="7"/>
        </w:rPr>
        <w:t xml:space="preserve"> </w:t>
      </w:r>
    </w:p>
    <w:p w14:paraId="6A5938BF" w14:textId="77777777" w:rsidR="007E13DE" w:rsidRDefault="00000000">
      <w:pPr>
        <w:spacing w:after="10"/>
        <w:ind w:left="-672"/>
        <w:jc w:val="both"/>
      </w:pPr>
      <w:r>
        <w:rPr>
          <w:rFonts w:ascii="Times New Roman" w:eastAsia="Times New Roman" w:hAnsi="Times New Roman" w:cs="Times New Roman"/>
          <w:sz w:val="7"/>
        </w:rPr>
        <w:t xml:space="preserve"> </w:t>
      </w:r>
    </w:p>
    <w:p w14:paraId="7BE2E5C1" w14:textId="77777777" w:rsidR="007E13DE" w:rsidRDefault="00000000">
      <w:pPr>
        <w:spacing w:after="10"/>
        <w:ind w:left="-672"/>
        <w:jc w:val="both"/>
      </w:pPr>
      <w:r>
        <w:rPr>
          <w:rFonts w:ascii="Times New Roman" w:eastAsia="Times New Roman" w:hAnsi="Times New Roman" w:cs="Times New Roman"/>
          <w:sz w:val="7"/>
        </w:rPr>
        <w:t xml:space="preserve"> </w:t>
      </w:r>
    </w:p>
    <w:p w14:paraId="4A950C4E" w14:textId="77777777" w:rsidR="007E13DE" w:rsidRDefault="00000000">
      <w:pPr>
        <w:spacing w:after="10"/>
        <w:ind w:left="-672"/>
        <w:jc w:val="both"/>
      </w:pPr>
      <w:r>
        <w:rPr>
          <w:rFonts w:ascii="Times New Roman" w:eastAsia="Times New Roman" w:hAnsi="Times New Roman" w:cs="Times New Roman"/>
          <w:sz w:val="7"/>
        </w:rPr>
        <w:t xml:space="preserve"> </w:t>
      </w:r>
    </w:p>
    <w:p w14:paraId="5305FB74" w14:textId="77777777" w:rsidR="007E13DE" w:rsidRDefault="00000000">
      <w:pPr>
        <w:spacing w:after="10"/>
        <w:ind w:left="-672"/>
        <w:jc w:val="both"/>
      </w:pPr>
      <w:r>
        <w:rPr>
          <w:rFonts w:ascii="Times New Roman" w:eastAsia="Times New Roman" w:hAnsi="Times New Roman" w:cs="Times New Roman"/>
          <w:sz w:val="7"/>
        </w:rPr>
        <w:t xml:space="preserve"> </w:t>
      </w:r>
    </w:p>
    <w:p w14:paraId="278C794B" w14:textId="77777777" w:rsidR="007E13DE" w:rsidRDefault="00000000">
      <w:pPr>
        <w:spacing w:after="10"/>
        <w:ind w:left="-672"/>
        <w:jc w:val="both"/>
      </w:pPr>
      <w:r>
        <w:rPr>
          <w:rFonts w:ascii="Times New Roman" w:eastAsia="Times New Roman" w:hAnsi="Times New Roman" w:cs="Times New Roman"/>
          <w:sz w:val="7"/>
        </w:rPr>
        <w:t xml:space="preserve"> </w:t>
      </w:r>
    </w:p>
    <w:p w14:paraId="5315F827" w14:textId="77777777" w:rsidR="007E13DE" w:rsidRDefault="00000000">
      <w:pPr>
        <w:spacing w:after="10"/>
        <w:ind w:left="-672"/>
        <w:jc w:val="both"/>
      </w:pPr>
      <w:r>
        <w:rPr>
          <w:rFonts w:ascii="Times New Roman" w:eastAsia="Times New Roman" w:hAnsi="Times New Roman" w:cs="Times New Roman"/>
          <w:sz w:val="7"/>
        </w:rPr>
        <w:t xml:space="preserve"> </w:t>
      </w:r>
    </w:p>
    <w:p w14:paraId="0CDDDC11" w14:textId="77777777" w:rsidR="007E13DE" w:rsidRDefault="00000000">
      <w:pPr>
        <w:spacing w:after="10"/>
        <w:ind w:left="-672"/>
        <w:jc w:val="both"/>
      </w:pPr>
      <w:r>
        <w:rPr>
          <w:rFonts w:ascii="Times New Roman" w:eastAsia="Times New Roman" w:hAnsi="Times New Roman" w:cs="Times New Roman"/>
          <w:sz w:val="7"/>
        </w:rPr>
        <w:t xml:space="preserve"> </w:t>
      </w:r>
    </w:p>
    <w:p w14:paraId="3650413B" w14:textId="77777777" w:rsidR="007E13DE" w:rsidRDefault="00000000">
      <w:pPr>
        <w:spacing w:after="10"/>
        <w:ind w:left="-672"/>
        <w:jc w:val="both"/>
      </w:pPr>
      <w:r>
        <w:rPr>
          <w:rFonts w:ascii="Times New Roman" w:eastAsia="Times New Roman" w:hAnsi="Times New Roman" w:cs="Times New Roman"/>
          <w:sz w:val="7"/>
        </w:rPr>
        <w:t xml:space="preserve"> </w:t>
      </w:r>
    </w:p>
    <w:p w14:paraId="3FE35218" w14:textId="77777777" w:rsidR="007E13DE" w:rsidRDefault="00000000">
      <w:pPr>
        <w:spacing w:after="10"/>
        <w:ind w:left="-672"/>
        <w:jc w:val="both"/>
      </w:pPr>
      <w:r>
        <w:rPr>
          <w:rFonts w:ascii="Times New Roman" w:eastAsia="Times New Roman" w:hAnsi="Times New Roman" w:cs="Times New Roman"/>
          <w:sz w:val="7"/>
        </w:rPr>
        <w:t xml:space="preserve"> </w:t>
      </w:r>
    </w:p>
    <w:p w14:paraId="0ED13E82" w14:textId="77777777" w:rsidR="007E13DE" w:rsidRDefault="00000000">
      <w:pPr>
        <w:spacing w:after="10"/>
        <w:ind w:left="-672"/>
        <w:jc w:val="both"/>
      </w:pPr>
      <w:r>
        <w:rPr>
          <w:rFonts w:ascii="Times New Roman" w:eastAsia="Times New Roman" w:hAnsi="Times New Roman" w:cs="Times New Roman"/>
          <w:sz w:val="7"/>
        </w:rPr>
        <w:t xml:space="preserve"> </w:t>
      </w:r>
    </w:p>
    <w:p w14:paraId="0C57C843" w14:textId="77777777" w:rsidR="007E13DE" w:rsidRDefault="00000000">
      <w:pPr>
        <w:spacing w:after="10"/>
        <w:ind w:left="-672"/>
        <w:jc w:val="both"/>
      </w:pPr>
      <w:r>
        <w:rPr>
          <w:rFonts w:ascii="Times New Roman" w:eastAsia="Times New Roman" w:hAnsi="Times New Roman" w:cs="Times New Roman"/>
          <w:sz w:val="7"/>
        </w:rPr>
        <w:t xml:space="preserve"> </w:t>
      </w:r>
    </w:p>
    <w:p w14:paraId="1EAA6D50" w14:textId="77777777" w:rsidR="007E13DE" w:rsidRDefault="00000000">
      <w:pPr>
        <w:spacing w:after="10"/>
        <w:ind w:left="-672"/>
        <w:jc w:val="both"/>
      </w:pPr>
      <w:r>
        <w:rPr>
          <w:rFonts w:ascii="Times New Roman" w:eastAsia="Times New Roman" w:hAnsi="Times New Roman" w:cs="Times New Roman"/>
          <w:sz w:val="7"/>
        </w:rPr>
        <w:t xml:space="preserve"> </w:t>
      </w:r>
    </w:p>
    <w:p w14:paraId="0B3047AB" w14:textId="77777777" w:rsidR="007E13DE" w:rsidRDefault="00000000">
      <w:pPr>
        <w:spacing w:after="10"/>
        <w:ind w:left="-672"/>
        <w:jc w:val="both"/>
      </w:pPr>
      <w:r>
        <w:rPr>
          <w:rFonts w:ascii="Times New Roman" w:eastAsia="Times New Roman" w:hAnsi="Times New Roman" w:cs="Times New Roman"/>
          <w:sz w:val="7"/>
        </w:rPr>
        <w:t xml:space="preserve"> </w:t>
      </w:r>
    </w:p>
    <w:p w14:paraId="563A2809" w14:textId="77777777" w:rsidR="007E13DE" w:rsidRDefault="00000000">
      <w:pPr>
        <w:spacing w:after="10"/>
        <w:ind w:left="-672"/>
        <w:jc w:val="both"/>
      </w:pPr>
      <w:r>
        <w:rPr>
          <w:rFonts w:ascii="Times New Roman" w:eastAsia="Times New Roman" w:hAnsi="Times New Roman" w:cs="Times New Roman"/>
          <w:sz w:val="7"/>
        </w:rPr>
        <w:t xml:space="preserve"> </w:t>
      </w:r>
    </w:p>
    <w:p w14:paraId="101ED4F6" w14:textId="77777777" w:rsidR="007E13DE" w:rsidRDefault="00000000">
      <w:pPr>
        <w:spacing w:after="10"/>
        <w:ind w:left="-672"/>
        <w:jc w:val="both"/>
      </w:pPr>
      <w:r>
        <w:rPr>
          <w:rFonts w:ascii="Times New Roman" w:eastAsia="Times New Roman" w:hAnsi="Times New Roman" w:cs="Times New Roman"/>
          <w:sz w:val="7"/>
        </w:rPr>
        <w:t xml:space="preserve"> </w:t>
      </w:r>
    </w:p>
    <w:p w14:paraId="09DCA63B" w14:textId="77777777" w:rsidR="007E13DE" w:rsidRDefault="00000000">
      <w:pPr>
        <w:spacing w:after="10"/>
        <w:ind w:left="-672"/>
        <w:jc w:val="both"/>
      </w:pPr>
      <w:r>
        <w:rPr>
          <w:rFonts w:ascii="Times New Roman" w:eastAsia="Times New Roman" w:hAnsi="Times New Roman" w:cs="Times New Roman"/>
          <w:sz w:val="7"/>
        </w:rPr>
        <w:t xml:space="preserve"> </w:t>
      </w:r>
    </w:p>
    <w:p w14:paraId="70E1D622" w14:textId="77777777" w:rsidR="007E13DE" w:rsidRDefault="00000000">
      <w:pPr>
        <w:spacing w:after="10"/>
        <w:ind w:left="-672"/>
        <w:jc w:val="both"/>
      </w:pPr>
      <w:r>
        <w:rPr>
          <w:rFonts w:ascii="Times New Roman" w:eastAsia="Times New Roman" w:hAnsi="Times New Roman" w:cs="Times New Roman"/>
          <w:sz w:val="7"/>
        </w:rPr>
        <w:t xml:space="preserve"> </w:t>
      </w:r>
    </w:p>
    <w:p w14:paraId="22E0D91B" w14:textId="77777777" w:rsidR="007E13DE" w:rsidRDefault="00000000">
      <w:pPr>
        <w:spacing w:after="10"/>
        <w:ind w:left="-672"/>
        <w:jc w:val="both"/>
      </w:pPr>
      <w:r>
        <w:rPr>
          <w:rFonts w:ascii="Times New Roman" w:eastAsia="Times New Roman" w:hAnsi="Times New Roman" w:cs="Times New Roman"/>
          <w:sz w:val="7"/>
        </w:rPr>
        <w:t xml:space="preserve"> </w:t>
      </w:r>
    </w:p>
    <w:p w14:paraId="26F592F0" w14:textId="77777777" w:rsidR="007E13DE" w:rsidRDefault="00000000">
      <w:pPr>
        <w:spacing w:after="10"/>
        <w:ind w:left="-672"/>
        <w:jc w:val="both"/>
      </w:pPr>
      <w:r>
        <w:rPr>
          <w:rFonts w:ascii="Times New Roman" w:eastAsia="Times New Roman" w:hAnsi="Times New Roman" w:cs="Times New Roman"/>
          <w:sz w:val="7"/>
        </w:rPr>
        <w:t xml:space="preserve"> </w:t>
      </w:r>
    </w:p>
    <w:p w14:paraId="3612C885" w14:textId="77777777" w:rsidR="007E13DE" w:rsidRDefault="00000000">
      <w:pPr>
        <w:spacing w:after="10"/>
        <w:ind w:left="-672"/>
        <w:jc w:val="both"/>
      </w:pPr>
      <w:r>
        <w:rPr>
          <w:rFonts w:ascii="Times New Roman" w:eastAsia="Times New Roman" w:hAnsi="Times New Roman" w:cs="Times New Roman"/>
          <w:sz w:val="7"/>
        </w:rPr>
        <w:t xml:space="preserve"> </w:t>
      </w:r>
    </w:p>
    <w:p w14:paraId="09A36D29" w14:textId="77777777" w:rsidR="007E13DE" w:rsidRDefault="00000000">
      <w:pPr>
        <w:spacing w:after="10"/>
        <w:ind w:left="-672"/>
        <w:jc w:val="both"/>
      </w:pPr>
      <w:r>
        <w:rPr>
          <w:rFonts w:ascii="Times New Roman" w:eastAsia="Times New Roman" w:hAnsi="Times New Roman" w:cs="Times New Roman"/>
          <w:sz w:val="7"/>
        </w:rPr>
        <w:t xml:space="preserve"> </w:t>
      </w:r>
    </w:p>
    <w:p w14:paraId="5D9F8560" w14:textId="77777777" w:rsidR="007E13DE" w:rsidRDefault="00000000">
      <w:pPr>
        <w:spacing w:after="10"/>
        <w:ind w:left="-672"/>
        <w:jc w:val="both"/>
      </w:pPr>
      <w:r>
        <w:rPr>
          <w:rFonts w:ascii="Times New Roman" w:eastAsia="Times New Roman" w:hAnsi="Times New Roman" w:cs="Times New Roman"/>
          <w:sz w:val="7"/>
        </w:rPr>
        <w:t xml:space="preserve"> </w:t>
      </w:r>
    </w:p>
    <w:p w14:paraId="4BCC98A7" w14:textId="77777777" w:rsidR="007E13DE" w:rsidRDefault="00000000">
      <w:pPr>
        <w:spacing w:after="10"/>
        <w:ind w:left="-672"/>
        <w:jc w:val="both"/>
      </w:pPr>
      <w:r>
        <w:rPr>
          <w:rFonts w:ascii="Times New Roman" w:eastAsia="Times New Roman" w:hAnsi="Times New Roman" w:cs="Times New Roman"/>
          <w:sz w:val="7"/>
        </w:rPr>
        <w:t xml:space="preserve"> </w:t>
      </w:r>
    </w:p>
    <w:p w14:paraId="03092446" w14:textId="77777777" w:rsidR="007E13DE" w:rsidRDefault="00000000">
      <w:pPr>
        <w:spacing w:after="10"/>
        <w:ind w:left="-672"/>
        <w:jc w:val="both"/>
      </w:pPr>
      <w:r>
        <w:rPr>
          <w:rFonts w:ascii="Times New Roman" w:eastAsia="Times New Roman" w:hAnsi="Times New Roman" w:cs="Times New Roman"/>
          <w:sz w:val="7"/>
        </w:rPr>
        <w:t xml:space="preserve"> </w:t>
      </w:r>
    </w:p>
    <w:p w14:paraId="10C15099" w14:textId="77777777" w:rsidR="007E13DE" w:rsidRDefault="00000000">
      <w:pPr>
        <w:spacing w:after="10"/>
        <w:ind w:left="-672"/>
        <w:jc w:val="both"/>
      </w:pPr>
      <w:r>
        <w:rPr>
          <w:rFonts w:ascii="Times New Roman" w:eastAsia="Times New Roman" w:hAnsi="Times New Roman" w:cs="Times New Roman"/>
          <w:sz w:val="7"/>
        </w:rPr>
        <w:t xml:space="preserve"> </w:t>
      </w:r>
    </w:p>
    <w:p w14:paraId="633DB5C7" w14:textId="77777777" w:rsidR="007E13DE" w:rsidRDefault="00000000">
      <w:pPr>
        <w:spacing w:after="10"/>
        <w:ind w:left="-672"/>
        <w:jc w:val="both"/>
      </w:pPr>
      <w:r>
        <w:rPr>
          <w:rFonts w:ascii="Times New Roman" w:eastAsia="Times New Roman" w:hAnsi="Times New Roman" w:cs="Times New Roman"/>
          <w:sz w:val="7"/>
        </w:rPr>
        <w:t xml:space="preserve"> </w:t>
      </w:r>
    </w:p>
    <w:p w14:paraId="51738CFA" w14:textId="77777777" w:rsidR="007E13DE" w:rsidRDefault="00000000">
      <w:pPr>
        <w:spacing w:after="10"/>
        <w:ind w:left="-672"/>
        <w:jc w:val="both"/>
      </w:pPr>
      <w:r>
        <w:rPr>
          <w:rFonts w:ascii="Times New Roman" w:eastAsia="Times New Roman" w:hAnsi="Times New Roman" w:cs="Times New Roman"/>
          <w:sz w:val="7"/>
        </w:rPr>
        <w:t xml:space="preserve"> </w:t>
      </w:r>
    </w:p>
    <w:p w14:paraId="58F42C0F" w14:textId="77777777" w:rsidR="007E13DE" w:rsidRDefault="00000000">
      <w:pPr>
        <w:spacing w:after="10"/>
        <w:ind w:left="-672"/>
        <w:jc w:val="both"/>
      </w:pPr>
      <w:r>
        <w:rPr>
          <w:rFonts w:ascii="Times New Roman" w:eastAsia="Times New Roman" w:hAnsi="Times New Roman" w:cs="Times New Roman"/>
          <w:sz w:val="7"/>
        </w:rPr>
        <w:t xml:space="preserve"> </w:t>
      </w:r>
    </w:p>
    <w:p w14:paraId="2A4B221A" w14:textId="77777777" w:rsidR="007E13DE" w:rsidRDefault="00000000">
      <w:pPr>
        <w:spacing w:after="10"/>
        <w:ind w:left="-672"/>
        <w:jc w:val="both"/>
      </w:pPr>
      <w:r>
        <w:rPr>
          <w:rFonts w:ascii="Times New Roman" w:eastAsia="Times New Roman" w:hAnsi="Times New Roman" w:cs="Times New Roman"/>
          <w:sz w:val="7"/>
        </w:rPr>
        <w:lastRenderedPageBreak/>
        <w:t xml:space="preserve"> </w:t>
      </w:r>
    </w:p>
    <w:p w14:paraId="1F681371" w14:textId="77777777" w:rsidR="007E13DE" w:rsidRDefault="00000000">
      <w:pPr>
        <w:spacing w:after="10"/>
        <w:ind w:left="-672"/>
        <w:jc w:val="both"/>
      </w:pPr>
      <w:r>
        <w:rPr>
          <w:rFonts w:ascii="Times New Roman" w:eastAsia="Times New Roman" w:hAnsi="Times New Roman" w:cs="Times New Roman"/>
          <w:sz w:val="7"/>
        </w:rPr>
        <w:t xml:space="preserve"> </w:t>
      </w:r>
    </w:p>
    <w:p w14:paraId="76BEA147" w14:textId="77777777" w:rsidR="007E13DE" w:rsidRDefault="00000000">
      <w:pPr>
        <w:spacing w:after="10"/>
        <w:ind w:left="-672"/>
        <w:jc w:val="both"/>
      </w:pPr>
      <w:r>
        <w:rPr>
          <w:rFonts w:ascii="Times New Roman" w:eastAsia="Times New Roman" w:hAnsi="Times New Roman" w:cs="Times New Roman"/>
          <w:sz w:val="7"/>
        </w:rPr>
        <w:t xml:space="preserve"> </w:t>
      </w:r>
    </w:p>
    <w:p w14:paraId="0A3E08B9" w14:textId="77777777" w:rsidR="007E13DE" w:rsidRDefault="00000000">
      <w:pPr>
        <w:spacing w:after="10"/>
        <w:ind w:left="-672"/>
        <w:jc w:val="both"/>
      </w:pPr>
      <w:r>
        <w:rPr>
          <w:rFonts w:ascii="Times New Roman" w:eastAsia="Times New Roman" w:hAnsi="Times New Roman" w:cs="Times New Roman"/>
          <w:sz w:val="7"/>
        </w:rPr>
        <w:t xml:space="preserve"> </w:t>
      </w:r>
    </w:p>
    <w:p w14:paraId="08E1524A" w14:textId="77777777" w:rsidR="007E13DE" w:rsidRDefault="00000000">
      <w:pPr>
        <w:spacing w:after="10"/>
        <w:ind w:left="-672"/>
        <w:jc w:val="both"/>
      </w:pPr>
      <w:r>
        <w:rPr>
          <w:rFonts w:ascii="Times New Roman" w:eastAsia="Times New Roman" w:hAnsi="Times New Roman" w:cs="Times New Roman"/>
          <w:sz w:val="7"/>
        </w:rPr>
        <w:t xml:space="preserve"> </w:t>
      </w:r>
    </w:p>
    <w:p w14:paraId="471E9362" w14:textId="77777777" w:rsidR="007E13DE" w:rsidRDefault="00000000">
      <w:pPr>
        <w:spacing w:after="10"/>
        <w:ind w:left="-672"/>
        <w:jc w:val="both"/>
      </w:pPr>
      <w:r>
        <w:rPr>
          <w:rFonts w:ascii="Times New Roman" w:eastAsia="Times New Roman" w:hAnsi="Times New Roman" w:cs="Times New Roman"/>
          <w:sz w:val="7"/>
        </w:rPr>
        <w:t xml:space="preserve"> </w:t>
      </w:r>
    </w:p>
    <w:p w14:paraId="7B0900C6" w14:textId="77777777" w:rsidR="007E13DE" w:rsidRDefault="00000000">
      <w:pPr>
        <w:spacing w:after="10"/>
        <w:ind w:left="-672"/>
        <w:jc w:val="both"/>
      </w:pPr>
      <w:r>
        <w:rPr>
          <w:rFonts w:ascii="Times New Roman" w:eastAsia="Times New Roman" w:hAnsi="Times New Roman" w:cs="Times New Roman"/>
          <w:sz w:val="7"/>
        </w:rPr>
        <w:t xml:space="preserve"> </w:t>
      </w:r>
    </w:p>
    <w:p w14:paraId="236F9488" w14:textId="77777777" w:rsidR="007E13DE" w:rsidRDefault="00000000">
      <w:pPr>
        <w:spacing w:after="10"/>
        <w:ind w:left="-672"/>
        <w:jc w:val="both"/>
      </w:pPr>
      <w:r>
        <w:rPr>
          <w:rFonts w:ascii="Times New Roman" w:eastAsia="Times New Roman" w:hAnsi="Times New Roman" w:cs="Times New Roman"/>
          <w:sz w:val="7"/>
        </w:rPr>
        <w:t xml:space="preserve"> </w:t>
      </w:r>
    </w:p>
    <w:p w14:paraId="0AA1EEC4" w14:textId="77777777" w:rsidR="007E13DE" w:rsidRDefault="00000000">
      <w:pPr>
        <w:spacing w:after="0"/>
        <w:ind w:left="-672"/>
        <w:jc w:val="both"/>
      </w:pPr>
      <w:r>
        <w:rPr>
          <w:rFonts w:ascii="Times New Roman" w:eastAsia="Times New Roman" w:hAnsi="Times New Roman" w:cs="Times New Roman"/>
          <w:sz w:val="7"/>
        </w:rPr>
        <w:t xml:space="preserve"> </w:t>
      </w:r>
    </w:p>
    <w:p w14:paraId="2C1C8B11" w14:textId="50897D2B" w:rsidR="007E13DE" w:rsidRDefault="00000000">
      <w:pPr>
        <w:spacing w:after="10"/>
        <w:ind w:left="-672"/>
        <w:jc w:val="both"/>
      </w:pPr>
      <w:r>
        <w:rPr>
          <w:rFonts w:ascii="Times New Roman" w:eastAsia="Times New Roman" w:hAnsi="Times New Roman" w:cs="Times New Roman"/>
          <w:sz w:val="7"/>
        </w:rPr>
        <w:t xml:space="preserve"> </w:t>
      </w:r>
    </w:p>
    <w:sectPr w:rsidR="007E13DE">
      <w:headerReference w:type="even" r:id="rId18"/>
      <w:headerReference w:type="default" r:id="rId19"/>
      <w:headerReference w:type="first" r:id="rId20"/>
      <w:pgSz w:w="11906" w:h="16838"/>
      <w:pgMar w:top="1140" w:right="1440" w:bottom="1440" w:left="1440" w:header="11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43A4B" w14:textId="77777777" w:rsidR="00C4563F" w:rsidRDefault="00C4563F">
      <w:pPr>
        <w:spacing w:after="0" w:line="240" w:lineRule="auto"/>
      </w:pPr>
      <w:r>
        <w:separator/>
      </w:r>
    </w:p>
  </w:endnote>
  <w:endnote w:type="continuationSeparator" w:id="0">
    <w:p w14:paraId="10366C5E" w14:textId="77777777" w:rsidR="00C4563F" w:rsidRDefault="00C45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441C0" w14:textId="77777777" w:rsidR="00C4563F" w:rsidRDefault="00C4563F">
      <w:pPr>
        <w:spacing w:after="0" w:line="240" w:lineRule="auto"/>
      </w:pPr>
      <w:r>
        <w:separator/>
      </w:r>
    </w:p>
  </w:footnote>
  <w:footnote w:type="continuationSeparator" w:id="0">
    <w:p w14:paraId="2111D086" w14:textId="77777777" w:rsidR="00C4563F" w:rsidRDefault="00C45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8CBEC" w14:textId="77777777" w:rsidR="007E13DE" w:rsidRDefault="007E13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B098D" w14:textId="77777777" w:rsidR="007E13DE" w:rsidRDefault="007E13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0EB97" w14:textId="77777777" w:rsidR="007E13DE" w:rsidRDefault="007E13D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EBAA3" w14:textId="77777777" w:rsidR="007E13DE" w:rsidRDefault="00000000">
    <w:pPr>
      <w:spacing w:after="0"/>
      <w:ind w:left="-1440" w:right="10466"/>
    </w:pPr>
    <w:r>
      <w:rPr>
        <w:noProof/>
      </w:rPr>
      <mc:AlternateContent>
        <mc:Choice Requires="wpg">
          <w:drawing>
            <wp:anchor distT="0" distB="0" distL="114300" distR="114300" simplePos="0" relativeHeight="251658240" behindDoc="0" locked="0" layoutInCell="1" allowOverlap="1" wp14:anchorId="68E26F2C" wp14:editId="51CFCEA3">
              <wp:simplePos x="0" y="0"/>
              <wp:positionH relativeFrom="page">
                <wp:posOffset>480060</wp:posOffset>
              </wp:positionH>
              <wp:positionV relativeFrom="page">
                <wp:posOffset>723900</wp:posOffset>
              </wp:positionV>
              <wp:extent cx="6562345" cy="94488"/>
              <wp:effectExtent l="0" t="0" r="0" b="0"/>
              <wp:wrapSquare wrapText="bothSides"/>
              <wp:docPr id="47628" name="Group 47628"/>
              <wp:cNvGraphicFramePr/>
              <a:graphic xmlns:a="http://schemas.openxmlformats.org/drawingml/2006/main">
                <a:graphicData uri="http://schemas.microsoft.com/office/word/2010/wordprocessingGroup">
                  <wpg:wgp>
                    <wpg:cNvGrpSpPr/>
                    <wpg:grpSpPr>
                      <a:xfrm>
                        <a:off x="0" y="0"/>
                        <a:ext cx="6562345" cy="94488"/>
                        <a:chOff x="0" y="0"/>
                        <a:chExt cx="6562345" cy="94488"/>
                      </a:xfrm>
                    </wpg:grpSpPr>
                    <wps:wsp>
                      <wps:cNvPr id="47631" name="Rectangle 47631"/>
                      <wps:cNvSpPr/>
                      <wps:spPr>
                        <a:xfrm>
                          <a:off x="2208276" y="15603"/>
                          <a:ext cx="2855791" cy="85738"/>
                        </a:xfrm>
                        <a:prstGeom prst="rect">
                          <a:avLst/>
                        </a:prstGeom>
                        <a:ln>
                          <a:noFill/>
                        </a:ln>
                      </wps:spPr>
                      <wps:txbx>
                        <w:txbxContent>
                          <w:p w14:paraId="15FE5D17" w14:textId="77777777" w:rsidR="007E13DE" w:rsidRDefault="00000000">
                            <w:r>
                              <w:rPr>
                                <w:rFonts w:ascii="Times New Roman" w:eastAsia="Times New Roman" w:hAnsi="Times New Roman" w:cs="Times New Roman"/>
                                <w:color w:val="0000FF"/>
                                <w:sz w:val="11"/>
                              </w:rPr>
                              <w:t>CONTRIBUIÇÃO</w:t>
                            </w:r>
                            <w:r>
                              <w:rPr>
                                <w:rFonts w:ascii="Times New Roman" w:eastAsia="Times New Roman" w:hAnsi="Times New Roman" w:cs="Times New Roman"/>
                                <w:color w:val="0000FF"/>
                                <w:spacing w:val="4"/>
                                <w:sz w:val="11"/>
                              </w:rPr>
                              <w:t xml:space="preserve"> </w:t>
                            </w:r>
                            <w:r>
                              <w:rPr>
                                <w:rFonts w:ascii="Times New Roman" w:eastAsia="Times New Roman" w:hAnsi="Times New Roman" w:cs="Times New Roman"/>
                                <w:color w:val="0000FF"/>
                                <w:sz w:val="11"/>
                              </w:rPr>
                              <w:t>REFERENTE</w:t>
                            </w:r>
                            <w:r>
                              <w:rPr>
                                <w:rFonts w:ascii="Times New Roman" w:eastAsia="Times New Roman" w:hAnsi="Times New Roman" w:cs="Times New Roman"/>
                                <w:color w:val="0000FF"/>
                                <w:spacing w:val="4"/>
                                <w:sz w:val="11"/>
                              </w:rPr>
                              <w:t xml:space="preserve"> </w:t>
                            </w:r>
                            <w:r>
                              <w:rPr>
                                <w:rFonts w:ascii="Times New Roman" w:eastAsia="Times New Roman" w:hAnsi="Times New Roman" w:cs="Times New Roman"/>
                                <w:color w:val="0000FF"/>
                                <w:sz w:val="11"/>
                              </w:rPr>
                              <w:t>À</w:t>
                            </w:r>
                            <w:r>
                              <w:rPr>
                                <w:rFonts w:ascii="Times New Roman" w:eastAsia="Times New Roman" w:hAnsi="Times New Roman" w:cs="Times New Roman"/>
                                <w:color w:val="0000FF"/>
                                <w:spacing w:val="3"/>
                                <w:sz w:val="11"/>
                              </w:rPr>
                              <w:t xml:space="preserve"> </w:t>
                            </w:r>
                            <w:r>
                              <w:rPr>
                                <w:rFonts w:ascii="Times New Roman" w:eastAsia="Times New Roman" w:hAnsi="Times New Roman" w:cs="Times New Roman"/>
                                <w:color w:val="0000FF"/>
                                <w:sz w:val="11"/>
                              </w:rPr>
                              <w:t>CONSULTA</w:t>
                            </w:r>
                            <w:r>
                              <w:rPr>
                                <w:rFonts w:ascii="Times New Roman" w:eastAsia="Times New Roman" w:hAnsi="Times New Roman" w:cs="Times New Roman"/>
                                <w:color w:val="0000FF"/>
                                <w:spacing w:val="1"/>
                                <w:sz w:val="11"/>
                              </w:rPr>
                              <w:t xml:space="preserve"> </w:t>
                            </w:r>
                            <w:r>
                              <w:rPr>
                                <w:rFonts w:ascii="Times New Roman" w:eastAsia="Times New Roman" w:hAnsi="Times New Roman" w:cs="Times New Roman"/>
                                <w:color w:val="0000FF"/>
                                <w:sz w:val="11"/>
                              </w:rPr>
                              <w:t>PÚBLICA</w:t>
                            </w:r>
                            <w:r>
                              <w:rPr>
                                <w:rFonts w:ascii="Times New Roman" w:eastAsia="Times New Roman" w:hAnsi="Times New Roman" w:cs="Times New Roman"/>
                                <w:color w:val="0000FF"/>
                                <w:spacing w:val="1"/>
                                <w:sz w:val="11"/>
                              </w:rPr>
                              <w:t xml:space="preserve"> </w:t>
                            </w:r>
                            <w:r>
                              <w:rPr>
                                <w:rFonts w:ascii="Times New Roman" w:eastAsia="Times New Roman" w:hAnsi="Times New Roman" w:cs="Times New Roman"/>
                                <w:color w:val="0000FF"/>
                                <w:sz w:val="11"/>
                              </w:rPr>
                              <w:t>Nº</w:t>
                            </w:r>
                            <w:r>
                              <w:rPr>
                                <w:rFonts w:ascii="Times New Roman" w:eastAsia="Times New Roman" w:hAnsi="Times New Roman" w:cs="Times New Roman"/>
                                <w:color w:val="0000FF"/>
                                <w:spacing w:val="2"/>
                                <w:sz w:val="11"/>
                              </w:rPr>
                              <w:t xml:space="preserve"> </w:t>
                            </w:r>
                            <w:r>
                              <w:rPr>
                                <w:rFonts w:ascii="Times New Roman" w:eastAsia="Times New Roman" w:hAnsi="Times New Roman" w:cs="Times New Roman"/>
                                <w:color w:val="0000FF"/>
                                <w:sz w:val="11"/>
                              </w:rPr>
                              <w:t>023/2024</w:t>
                            </w:r>
                          </w:p>
                        </w:txbxContent>
                      </wps:txbx>
                      <wps:bodyPr horzOverflow="overflow" vert="horz" lIns="0" tIns="0" rIns="0" bIns="0" rtlCol="0">
                        <a:noAutofit/>
                      </wps:bodyPr>
                    </wps:wsp>
                    <wps:wsp>
                      <wps:cNvPr id="50127" name="Shape 50127"/>
                      <wps:cNvSpPr/>
                      <wps:spPr>
                        <a:xfrm>
                          <a:off x="0" y="89916"/>
                          <a:ext cx="6554724" cy="9144"/>
                        </a:xfrm>
                        <a:custGeom>
                          <a:avLst/>
                          <a:gdLst/>
                          <a:ahLst/>
                          <a:cxnLst/>
                          <a:rect l="0" t="0" r="0" b="0"/>
                          <a:pathLst>
                            <a:path w="6554724" h="9144">
                              <a:moveTo>
                                <a:pt x="0" y="0"/>
                              </a:moveTo>
                              <a:lnTo>
                                <a:pt x="6554724" y="0"/>
                              </a:lnTo>
                              <a:lnTo>
                                <a:pt x="6554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28" name="Shape 50128"/>
                      <wps:cNvSpPr/>
                      <wps:spPr>
                        <a:xfrm>
                          <a:off x="0" y="0"/>
                          <a:ext cx="6562345" cy="9144"/>
                        </a:xfrm>
                        <a:custGeom>
                          <a:avLst/>
                          <a:gdLst/>
                          <a:ahLst/>
                          <a:cxnLst/>
                          <a:rect l="0" t="0" r="0" b="0"/>
                          <a:pathLst>
                            <a:path w="6562345" h="9144">
                              <a:moveTo>
                                <a:pt x="0" y="0"/>
                              </a:moveTo>
                              <a:lnTo>
                                <a:pt x="6562345" y="0"/>
                              </a:lnTo>
                              <a:lnTo>
                                <a:pt x="65623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7628" style="width:516.72pt;height:7.44pt;position:absolute;mso-position-horizontal-relative:page;mso-position-horizontal:absolute;margin-left:37.8pt;mso-position-vertical-relative:page;margin-top:57pt;" coordsize="65623,944">
              <v:rect id="Rectangle 47631" style="position:absolute;width:28557;height:857;left:22082;top:156;" filled="f" stroked="f">
                <v:textbox inset="0,0,0,0">
                  <w:txbxContent>
                    <w:p>
                      <w:pPr>
                        <w:spacing w:before="0" w:after="160" w:line="259" w:lineRule="auto"/>
                      </w:pPr>
                      <w:r>
                        <w:rPr>
                          <w:rFonts w:cs="Times New Roman" w:hAnsi="Times New Roman" w:eastAsia="Times New Roman" w:ascii="Times New Roman"/>
                          <w:color w:val="0000ff"/>
                          <w:sz w:val="11"/>
                        </w:rPr>
                        <w:t xml:space="preserve">CONTRIBUIÇÃO</w:t>
                      </w:r>
                      <w:r>
                        <w:rPr>
                          <w:rFonts w:cs="Times New Roman" w:hAnsi="Times New Roman" w:eastAsia="Times New Roman" w:ascii="Times New Roman"/>
                          <w:color w:val="0000ff"/>
                          <w:spacing w:val="4"/>
                          <w:sz w:val="11"/>
                        </w:rPr>
                        <w:t xml:space="preserve"> </w:t>
                      </w:r>
                      <w:r>
                        <w:rPr>
                          <w:rFonts w:cs="Times New Roman" w:hAnsi="Times New Roman" w:eastAsia="Times New Roman" w:ascii="Times New Roman"/>
                          <w:color w:val="0000ff"/>
                          <w:sz w:val="11"/>
                        </w:rPr>
                        <w:t xml:space="preserve">REFERENTE</w:t>
                      </w:r>
                      <w:r>
                        <w:rPr>
                          <w:rFonts w:cs="Times New Roman" w:hAnsi="Times New Roman" w:eastAsia="Times New Roman" w:ascii="Times New Roman"/>
                          <w:color w:val="0000ff"/>
                          <w:spacing w:val="4"/>
                          <w:sz w:val="11"/>
                        </w:rPr>
                        <w:t xml:space="preserve"> </w:t>
                      </w:r>
                      <w:r>
                        <w:rPr>
                          <w:rFonts w:cs="Times New Roman" w:hAnsi="Times New Roman" w:eastAsia="Times New Roman" w:ascii="Times New Roman"/>
                          <w:color w:val="0000ff"/>
                          <w:sz w:val="11"/>
                        </w:rPr>
                        <w:t xml:space="preserve">À</w:t>
                      </w:r>
                      <w:r>
                        <w:rPr>
                          <w:rFonts w:cs="Times New Roman" w:hAnsi="Times New Roman" w:eastAsia="Times New Roman" w:ascii="Times New Roman"/>
                          <w:color w:val="0000ff"/>
                          <w:spacing w:val="3"/>
                          <w:sz w:val="11"/>
                        </w:rPr>
                        <w:t xml:space="preserve"> </w:t>
                      </w:r>
                      <w:r>
                        <w:rPr>
                          <w:rFonts w:cs="Times New Roman" w:hAnsi="Times New Roman" w:eastAsia="Times New Roman" w:ascii="Times New Roman"/>
                          <w:color w:val="0000ff"/>
                          <w:sz w:val="11"/>
                        </w:rPr>
                        <w:t xml:space="preserve">CONSULTA</w:t>
                      </w:r>
                      <w:r>
                        <w:rPr>
                          <w:rFonts w:cs="Times New Roman" w:hAnsi="Times New Roman" w:eastAsia="Times New Roman" w:ascii="Times New Roman"/>
                          <w:color w:val="0000ff"/>
                          <w:spacing w:val="1"/>
                          <w:sz w:val="11"/>
                        </w:rPr>
                        <w:t xml:space="preserve"> </w:t>
                      </w:r>
                      <w:r>
                        <w:rPr>
                          <w:rFonts w:cs="Times New Roman" w:hAnsi="Times New Roman" w:eastAsia="Times New Roman" w:ascii="Times New Roman"/>
                          <w:color w:val="0000ff"/>
                          <w:sz w:val="11"/>
                        </w:rPr>
                        <w:t xml:space="preserve">PÚBLICA</w:t>
                      </w:r>
                      <w:r>
                        <w:rPr>
                          <w:rFonts w:cs="Times New Roman" w:hAnsi="Times New Roman" w:eastAsia="Times New Roman" w:ascii="Times New Roman"/>
                          <w:color w:val="0000ff"/>
                          <w:spacing w:val="1"/>
                          <w:sz w:val="11"/>
                        </w:rPr>
                        <w:t xml:space="preserve"> </w:t>
                      </w:r>
                      <w:r>
                        <w:rPr>
                          <w:rFonts w:cs="Times New Roman" w:hAnsi="Times New Roman" w:eastAsia="Times New Roman" w:ascii="Times New Roman"/>
                          <w:color w:val="0000ff"/>
                          <w:sz w:val="11"/>
                        </w:rPr>
                        <w:t xml:space="preserve">Nº</w:t>
                      </w:r>
                      <w:r>
                        <w:rPr>
                          <w:rFonts w:cs="Times New Roman" w:hAnsi="Times New Roman" w:eastAsia="Times New Roman" w:ascii="Times New Roman"/>
                          <w:color w:val="0000ff"/>
                          <w:spacing w:val="2"/>
                          <w:sz w:val="11"/>
                        </w:rPr>
                        <w:t xml:space="preserve"> </w:t>
                      </w:r>
                      <w:r>
                        <w:rPr>
                          <w:rFonts w:cs="Times New Roman" w:hAnsi="Times New Roman" w:eastAsia="Times New Roman" w:ascii="Times New Roman"/>
                          <w:color w:val="0000ff"/>
                          <w:sz w:val="11"/>
                        </w:rPr>
                        <w:t xml:space="preserve">023/2024</w:t>
                      </w:r>
                    </w:p>
                  </w:txbxContent>
                </v:textbox>
              </v:rect>
              <v:shape id="Shape 50143" style="position:absolute;width:65547;height:91;left:0;top:899;" coordsize="6554724,9144" path="m0,0l6554724,0l6554724,9144l0,9144l0,0">
                <v:stroke weight="0pt" endcap="flat" joinstyle="miter" miterlimit="10" on="false" color="#000000" opacity="0"/>
                <v:fill on="true" color="#000000"/>
              </v:shape>
              <v:shape id="Shape 50144" style="position:absolute;width:65623;height:91;left:0;top:0;" coordsize="6562345,9144" path="m0,0l6562345,0l6562345,9144l0,9144l0,0">
                <v:stroke weight="0pt" endcap="flat" joinstyle="miter" miterlimit="10" on="false" color="#000000" opacity="0"/>
                <v:fill on="true" color="#000000"/>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B34C8" w14:textId="77777777" w:rsidR="007E13DE" w:rsidRDefault="00000000">
    <w:pPr>
      <w:spacing w:after="0"/>
      <w:ind w:left="-1440" w:right="10466"/>
    </w:pPr>
    <w:r>
      <w:rPr>
        <w:noProof/>
      </w:rPr>
      <mc:AlternateContent>
        <mc:Choice Requires="wpg">
          <w:drawing>
            <wp:anchor distT="0" distB="0" distL="114300" distR="114300" simplePos="0" relativeHeight="251659264" behindDoc="0" locked="0" layoutInCell="1" allowOverlap="1" wp14:anchorId="2C373362" wp14:editId="5CBB0D38">
              <wp:simplePos x="0" y="0"/>
              <wp:positionH relativeFrom="page">
                <wp:posOffset>480060</wp:posOffset>
              </wp:positionH>
              <wp:positionV relativeFrom="page">
                <wp:posOffset>723900</wp:posOffset>
              </wp:positionV>
              <wp:extent cx="6562345" cy="94488"/>
              <wp:effectExtent l="0" t="0" r="0" b="0"/>
              <wp:wrapSquare wrapText="bothSides"/>
              <wp:docPr id="47620" name="Group 47620"/>
              <wp:cNvGraphicFramePr/>
              <a:graphic xmlns:a="http://schemas.openxmlformats.org/drawingml/2006/main">
                <a:graphicData uri="http://schemas.microsoft.com/office/word/2010/wordprocessingGroup">
                  <wpg:wgp>
                    <wpg:cNvGrpSpPr/>
                    <wpg:grpSpPr>
                      <a:xfrm>
                        <a:off x="0" y="0"/>
                        <a:ext cx="6562345" cy="94488"/>
                        <a:chOff x="0" y="0"/>
                        <a:chExt cx="6562345" cy="94488"/>
                      </a:xfrm>
                    </wpg:grpSpPr>
                    <wps:wsp>
                      <wps:cNvPr id="47623" name="Rectangle 47623"/>
                      <wps:cNvSpPr/>
                      <wps:spPr>
                        <a:xfrm>
                          <a:off x="2208276" y="15603"/>
                          <a:ext cx="2855791" cy="85738"/>
                        </a:xfrm>
                        <a:prstGeom prst="rect">
                          <a:avLst/>
                        </a:prstGeom>
                        <a:ln>
                          <a:noFill/>
                        </a:ln>
                      </wps:spPr>
                      <wps:txbx>
                        <w:txbxContent>
                          <w:p w14:paraId="4B3DECA4" w14:textId="77777777" w:rsidR="007E13DE" w:rsidRDefault="00000000">
                            <w:r>
                              <w:rPr>
                                <w:rFonts w:ascii="Times New Roman" w:eastAsia="Times New Roman" w:hAnsi="Times New Roman" w:cs="Times New Roman"/>
                                <w:color w:val="0000FF"/>
                                <w:sz w:val="11"/>
                              </w:rPr>
                              <w:t>CONTRIBUIÇÃO</w:t>
                            </w:r>
                            <w:r>
                              <w:rPr>
                                <w:rFonts w:ascii="Times New Roman" w:eastAsia="Times New Roman" w:hAnsi="Times New Roman" w:cs="Times New Roman"/>
                                <w:color w:val="0000FF"/>
                                <w:spacing w:val="4"/>
                                <w:sz w:val="11"/>
                              </w:rPr>
                              <w:t xml:space="preserve"> </w:t>
                            </w:r>
                            <w:r>
                              <w:rPr>
                                <w:rFonts w:ascii="Times New Roman" w:eastAsia="Times New Roman" w:hAnsi="Times New Roman" w:cs="Times New Roman"/>
                                <w:color w:val="0000FF"/>
                                <w:sz w:val="11"/>
                              </w:rPr>
                              <w:t>REFERENTE</w:t>
                            </w:r>
                            <w:r>
                              <w:rPr>
                                <w:rFonts w:ascii="Times New Roman" w:eastAsia="Times New Roman" w:hAnsi="Times New Roman" w:cs="Times New Roman"/>
                                <w:color w:val="0000FF"/>
                                <w:spacing w:val="4"/>
                                <w:sz w:val="11"/>
                              </w:rPr>
                              <w:t xml:space="preserve"> </w:t>
                            </w:r>
                            <w:r>
                              <w:rPr>
                                <w:rFonts w:ascii="Times New Roman" w:eastAsia="Times New Roman" w:hAnsi="Times New Roman" w:cs="Times New Roman"/>
                                <w:color w:val="0000FF"/>
                                <w:sz w:val="11"/>
                              </w:rPr>
                              <w:t>À</w:t>
                            </w:r>
                            <w:r>
                              <w:rPr>
                                <w:rFonts w:ascii="Times New Roman" w:eastAsia="Times New Roman" w:hAnsi="Times New Roman" w:cs="Times New Roman"/>
                                <w:color w:val="0000FF"/>
                                <w:spacing w:val="3"/>
                                <w:sz w:val="11"/>
                              </w:rPr>
                              <w:t xml:space="preserve"> </w:t>
                            </w:r>
                            <w:r>
                              <w:rPr>
                                <w:rFonts w:ascii="Times New Roman" w:eastAsia="Times New Roman" w:hAnsi="Times New Roman" w:cs="Times New Roman"/>
                                <w:color w:val="0000FF"/>
                                <w:sz w:val="11"/>
                              </w:rPr>
                              <w:t>CONSULTA</w:t>
                            </w:r>
                            <w:r>
                              <w:rPr>
                                <w:rFonts w:ascii="Times New Roman" w:eastAsia="Times New Roman" w:hAnsi="Times New Roman" w:cs="Times New Roman"/>
                                <w:color w:val="0000FF"/>
                                <w:spacing w:val="1"/>
                                <w:sz w:val="11"/>
                              </w:rPr>
                              <w:t xml:space="preserve"> </w:t>
                            </w:r>
                            <w:r>
                              <w:rPr>
                                <w:rFonts w:ascii="Times New Roman" w:eastAsia="Times New Roman" w:hAnsi="Times New Roman" w:cs="Times New Roman"/>
                                <w:color w:val="0000FF"/>
                                <w:sz w:val="11"/>
                              </w:rPr>
                              <w:t>PÚBLICA</w:t>
                            </w:r>
                            <w:r>
                              <w:rPr>
                                <w:rFonts w:ascii="Times New Roman" w:eastAsia="Times New Roman" w:hAnsi="Times New Roman" w:cs="Times New Roman"/>
                                <w:color w:val="0000FF"/>
                                <w:spacing w:val="1"/>
                                <w:sz w:val="11"/>
                              </w:rPr>
                              <w:t xml:space="preserve"> </w:t>
                            </w:r>
                            <w:r>
                              <w:rPr>
                                <w:rFonts w:ascii="Times New Roman" w:eastAsia="Times New Roman" w:hAnsi="Times New Roman" w:cs="Times New Roman"/>
                                <w:color w:val="0000FF"/>
                                <w:sz w:val="11"/>
                              </w:rPr>
                              <w:t>Nº</w:t>
                            </w:r>
                            <w:r>
                              <w:rPr>
                                <w:rFonts w:ascii="Times New Roman" w:eastAsia="Times New Roman" w:hAnsi="Times New Roman" w:cs="Times New Roman"/>
                                <w:color w:val="0000FF"/>
                                <w:spacing w:val="2"/>
                                <w:sz w:val="11"/>
                              </w:rPr>
                              <w:t xml:space="preserve"> </w:t>
                            </w:r>
                            <w:r>
                              <w:rPr>
                                <w:rFonts w:ascii="Times New Roman" w:eastAsia="Times New Roman" w:hAnsi="Times New Roman" w:cs="Times New Roman"/>
                                <w:color w:val="0000FF"/>
                                <w:sz w:val="11"/>
                              </w:rPr>
                              <w:t>023/2024</w:t>
                            </w:r>
                          </w:p>
                        </w:txbxContent>
                      </wps:txbx>
                      <wps:bodyPr horzOverflow="overflow" vert="horz" lIns="0" tIns="0" rIns="0" bIns="0" rtlCol="0">
                        <a:noAutofit/>
                      </wps:bodyPr>
                    </wps:wsp>
                    <wps:wsp>
                      <wps:cNvPr id="50095" name="Shape 50095"/>
                      <wps:cNvSpPr/>
                      <wps:spPr>
                        <a:xfrm>
                          <a:off x="0" y="89916"/>
                          <a:ext cx="6554724" cy="9144"/>
                        </a:xfrm>
                        <a:custGeom>
                          <a:avLst/>
                          <a:gdLst/>
                          <a:ahLst/>
                          <a:cxnLst/>
                          <a:rect l="0" t="0" r="0" b="0"/>
                          <a:pathLst>
                            <a:path w="6554724" h="9144">
                              <a:moveTo>
                                <a:pt x="0" y="0"/>
                              </a:moveTo>
                              <a:lnTo>
                                <a:pt x="6554724" y="0"/>
                              </a:lnTo>
                              <a:lnTo>
                                <a:pt x="6554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096" name="Shape 50096"/>
                      <wps:cNvSpPr/>
                      <wps:spPr>
                        <a:xfrm>
                          <a:off x="0" y="0"/>
                          <a:ext cx="6562345" cy="9144"/>
                        </a:xfrm>
                        <a:custGeom>
                          <a:avLst/>
                          <a:gdLst/>
                          <a:ahLst/>
                          <a:cxnLst/>
                          <a:rect l="0" t="0" r="0" b="0"/>
                          <a:pathLst>
                            <a:path w="6562345" h="9144">
                              <a:moveTo>
                                <a:pt x="0" y="0"/>
                              </a:moveTo>
                              <a:lnTo>
                                <a:pt x="6562345" y="0"/>
                              </a:lnTo>
                              <a:lnTo>
                                <a:pt x="65623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7620" style="width:516.72pt;height:7.44pt;position:absolute;mso-position-horizontal-relative:page;mso-position-horizontal:absolute;margin-left:37.8pt;mso-position-vertical-relative:page;margin-top:57pt;" coordsize="65623,944">
              <v:rect id="Rectangle 47623" style="position:absolute;width:28557;height:857;left:22082;top:156;" filled="f" stroked="f">
                <v:textbox inset="0,0,0,0">
                  <w:txbxContent>
                    <w:p>
                      <w:pPr>
                        <w:spacing w:before="0" w:after="160" w:line="259" w:lineRule="auto"/>
                      </w:pPr>
                      <w:r>
                        <w:rPr>
                          <w:rFonts w:cs="Times New Roman" w:hAnsi="Times New Roman" w:eastAsia="Times New Roman" w:ascii="Times New Roman"/>
                          <w:color w:val="0000ff"/>
                          <w:sz w:val="11"/>
                        </w:rPr>
                        <w:t xml:space="preserve">CONTRIBUIÇÃO</w:t>
                      </w:r>
                      <w:r>
                        <w:rPr>
                          <w:rFonts w:cs="Times New Roman" w:hAnsi="Times New Roman" w:eastAsia="Times New Roman" w:ascii="Times New Roman"/>
                          <w:color w:val="0000ff"/>
                          <w:spacing w:val="4"/>
                          <w:sz w:val="11"/>
                        </w:rPr>
                        <w:t xml:space="preserve"> </w:t>
                      </w:r>
                      <w:r>
                        <w:rPr>
                          <w:rFonts w:cs="Times New Roman" w:hAnsi="Times New Roman" w:eastAsia="Times New Roman" w:ascii="Times New Roman"/>
                          <w:color w:val="0000ff"/>
                          <w:sz w:val="11"/>
                        </w:rPr>
                        <w:t xml:space="preserve">REFERENTE</w:t>
                      </w:r>
                      <w:r>
                        <w:rPr>
                          <w:rFonts w:cs="Times New Roman" w:hAnsi="Times New Roman" w:eastAsia="Times New Roman" w:ascii="Times New Roman"/>
                          <w:color w:val="0000ff"/>
                          <w:spacing w:val="4"/>
                          <w:sz w:val="11"/>
                        </w:rPr>
                        <w:t xml:space="preserve"> </w:t>
                      </w:r>
                      <w:r>
                        <w:rPr>
                          <w:rFonts w:cs="Times New Roman" w:hAnsi="Times New Roman" w:eastAsia="Times New Roman" w:ascii="Times New Roman"/>
                          <w:color w:val="0000ff"/>
                          <w:sz w:val="11"/>
                        </w:rPr>
                        <w:t xml:space="preserve">À</w:t>
                      </w:r>
                      <w:r>
                        <w:rPr>
                          <w:rFonts w:cs="Times New Roman" w:hAnsi="Times New Roman" w:eastAsia="Times New Roman" w:ascii="Times New Roman"/>
                          <w:color w:val="0000ff"/>
                          <w:spacing w:val="3"/>
                          <w:sz w:val="11"/>
                        </w:rPr>
                        <w:t xml:space="preserve"> </w:t>
                      </w:r>
                      <w:r>
                        <w:rPr>
                          <w:rFonts w:cs="Times New Roman" w:hAnsi="Times New Roman" w:eastAsia="Times New Roman" w:ascii="Times New Roman"/>
                          <w:color w:val="0000ff"/>
                          <w:sz w:val="11"/>
                        </w:rPr>
                        <w:t xml:space="preserve">CONSULTA</w:t>
                      </w:r>
                      <w:r>
                        <w:rPr>
                          <w:rFonts w:cs="Times New Roman" w:hAnsi="Times New Roman" w:eastAsia="Times New Roman" w:ascii="Times New Roman"/>
                          <w:color w:val="0000ff"/>
                          <w:spacing w:val="1"/>
                          <w:sz w:val="11"/>
                        </w:rPr>
                        <w:t xml:space="preserve"> </w:t>
                      </w:r>
                      <w:r>
                        <w:rPr>
                          <w:rFonts w:cs="Times New Roman" w:hAnsi="Times New Roman" w:eastAsia="Times New Roman" w:ascii="Times New Roman"/>
                          <w:color w:val="0000ff"/>
                          <w:sz w:val="11"/>
                        </w:rPr>
                        <w:t xml:space="preserve">PÚBLICA</w:t>
                      </w:r>
                      <w:r>
                        <w:rPr>
                          <w:rFonts w:cs="Times New Roman" w:hAnsi="Times New Roman" w:eastAsia="Times New Roman" w:ascii="Times New Roman"/>
                          <w:color w:val="0000ff"/>
                          <w:spacing w:val="1"/>
                          <w:sz w:val="11"/>
                        </w:rPr>
                        <w:t xml:space="preserve"> </w:t>
                      </w:r>
                      <w:r>
                        <w:rPr>
                          <w:rFonts w:cs="Times New Roman" w:hAnsi="Times New Roman" w:eastAsia="Times New Roman" w:ascii="Times New Roman"/>
                          <w:color w:val="0000ff"/>
                          <w:sz w:val="11"/>
                        </w:rPr>
                        <w:t xml:space="preserve">Nº</w:t>
                      </w:r>
                      <w:r>
                        <w:rPr>
                          <w:rFonts w:cs="Times New Roman" w:hAnsi="Times New Roman" w:eastAsia="Times New Roman" w:ascii="Times New Roman"/>
                          <w:color w:val="0000ff"/>
                          <w:spacing w:val="2"/>
                          <w:sz w:val="11"/>
                        </w:rPr>
                        <w:t xml:space="preserve"> </w:t>
                      </w:r>
                      <w:r>
                        <w:rPr>
                          <w:rFonts w:cs="Times New Roman" w:hAnsi="Times New Roman" w:eastAsia="Times New Roman" w:ascii="Times New Roman"/>
                          <w:color w:val="0000ff"/>
                          <w:sz w:val="11"/>
                        </w:rPr>
                        <w:t xml:space="preserve">023/2024</w:t>
                      </w:r>
                    </w:p>
                  </w:txbxContent>
                </v:textbox>
              </v:rect>
              <v:shape id="Shape 50111" style="position:absolute;width:65547;height:91;left:0;top:899;" coordsize="6554724,9144" path="m0,0l6554724,0l6554724,9144l0,9144l0,0">
                <v:stroke weight="0pt" endcap="flat" joinstyle="miter" miterlimit="10" on="false" color="#000000" opacity="0"/>
                <v:fill on="true" color="#000000"/>
              </v:shape>
              <v:shape id="Shape 50112" style="position:absolute;width:65623;height:91;left:0;top:0;" coordsize="6562345,9144" path="m0,0l6562345,0l6562345,9144l0,9144l0,0">
                <v:stroke weight="0pt" endcap="flat" joinstyle="miter" miterlimit="10" on="false" color="#000000" opacity="0"/>
                <v:fill on="true" color="#000000"/>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7F5BD" w14:textId="77777777" w:rsidR="007E13DE" w:rsidRDefault="00000000">
    <w:pPr>
      <w:spacing w:after="0"/>
      <w:ind w:left="-1440" w:right="10466"/>
    </w:pPr>
    <w:r>
      <w:rPr>
        <w:noProof/>
      </w:rPr>
      <mc:AlternateContent>
        <mc:Choice Requires="wpg">
          <w:drawing>
            <wp:anchor distT="0" distB="0" distL="114300" distR="114300" simplePos="0" relativeHeight="251660288" behindDoc="0" locked="0" layoutInCell="1" allowOverlap="1" wp14:anchorId="0EF6F649" wp14:editId="3353194D">
              <wp:simplePos x="0" y="0"/>
              <wp:positionH relativeFrom="page">
                <wp:posOffset>480060</wp:posOffset>
              </wp:positionH>
              <wp:positionV relativeFrom="page">
                <wp:posOffset>723900</wp:posOffset>
              </wp:positionV>
              <wp:extent cx="6562345" cy="94488"/>
              <wp:effectExtent l="0" t="0" r="0" b="0"/>
              <wp:wrapSquare wrapText="bothSides"/>
              <wp:docPr id="47612" name="Group 47612"/>
              <wp:cNvGraphicFramePr/>
              <a:graphic xmlns:a="http://schemas.openxmlformats.org/drawingml/2006/main">
                <a:graphicData uri="http://schemas.microsoft.com/office/word/2010/wordprocessingGroup">
                  <wpg:wgp>
                    <wpg:cNvGrpSpPr/>
                    <wpg:grpSpPr>
                      <a:xfrm>
                        <a:off x="0" y="0"/>
                        <a:ext cx="6562345" cy="94488"/>
                        <a:chOff x="0" y="0"/>
                        <a:chExt cx="6562345" cy="94488"/>
                      </a:xfrm>
                    </wpg:grpSpPr>
                    <wps:wsp>
                      <wps:cNvPr id="47615" name="Rectangle 47615"/>
                      <wps:cNvSpPr/>
                      <wps:spPr>
                        <a:xfrm>
                          <a:off x="2208276" y="15603"/>
                          <a:ext cx="2855791" cy="85738"/>
                        </a:xfrm>
                        <a:prstGeom prst="rect">
                          <a:avLst/>
                        </a:prstGeom>
                        <a:ln>
                          <a:noFill/>
                        </a:ln>
                      </wps:spPr>
                      <wps:txbx>
                        <w:txbxContent>
                          <w:p w14:paraId="653959FB" w14:textId="77777777" w:rsidR="007E13DE" w:rsidRDefault="00000000">
                            <w:r>
                              <w:rPr>
                                <w:rFonts w:ascii="Times New Roman" w:eastAsia="Times New Roman" w:hAnsi="Times New Roman" w:cs="Times New Roman"/>
                                <w:color w:val="0000FF"/>
                                <w:sz w:val="11"/>
                              </w:rPr>
                              <w:t>CONTRIBUIÇÃO</w:t>
                            </w:r>
                            <w:r>
                              <w:rPr>
                                <w:rFonts w:ascii="Times New Roman" w:eastAsia="Times New Roman" w:hAnsi="Times New Roman" w:cs="Times New Roman"/>
                                <w:color w:val="0000FF"/>
                                <w:spacing w:val="4"/>
                                <w:sz w:val="11"/>
                              </w:rPr>
                              <w:t xml:space="preserve"> </w:t>
                            </w:r>
                            <w:r>
                              <w:rPr>
                                <w:rFonts w:ascii="Times New Roman" w:eastAsia="Times New Roman" w:hAnsi="Times New Roman" w:cs="Times New Roman"/>
                                <w:color w:val="0000FF"/>
                                <w:sz w:val="11"/>
                              </w:rPr>
                              <w:t>REFERENTE</w:t>
                            </w:r>
                            <w:r>
                              <w:rPr>
                                <w:rFonts w:ascii="Times New Roman" w:eastAsia="Times New Roman" w:hAnsi="Times New Roman" w:cs="Times New Roman"/>
                                <w:color w:val="0000FF"/>
                                <w:spacing w:val="4"/>
                                <w:sz w:val="11"/>
                              </w:rPr>
                              <w:t xml:space="preserve"> </w:t>
                            </w:r>
                            <w:r>
                              <w:rPr>
                                <w:rFonts w:ascii="Times New Roman" w:eastAsia="Times New Roman" w:hAnsi="Times New Roman" w:cs="Times New Roman"/>
                                <w:color w:val="0000FF"/>
                                <w:sz w:val="11"/>
                              </w:rPr>
                              <w:t>À</w:t>
                            </w:r>
                            <w:r>
                              <w:rPr>
                                <w:rFonts w:ascii="Times New Roman" w:eastAsia="Times New Roman" w:hAnsi="Times New Roman" w:cs="Times New Roman"/>
                                <w:color w:val="0000FF"/>
                                <w:spacing w:val="3"/>
                                <w:sz w:val="11"/>
                              </w:rPr>
                              <w:t xml:space="preserve"> </w:t>
                            </w:r>
                            <w:r>
                              <w:rPr>
                                <w:rFonts w:ascii="Times New Roman" w:eastAsia="Times New Roman" w:hAnsi="Times New Roman" w:cs="Times New Roman"/>
                                <w:color w:val="0000FF"/>
                                <w:sz w:val="11"/>
                              </w:rPr>
                              <w:t>CONSULTA</w:t>
                            </w:r>
                            <w:r>
                              <w:rPr>
                                <w:rFonts w:ascii="Times New Roman" w:eastAsia="Times New Roman" w:hAnsi="Times New Roman" w:cs="Times New Roman"/>
                                <w:color w:val="0000FF"/>
                                <w:spacing w:val="1"/>
                                <w:sz w:val="11"/>
                              </w:rPr>
                              <w:t xml:space="preserve"> </w:t>
                            </w:r>
                            <w:r>
                              <w:rPr>
                                <w:rFonts w:ascii="Times New Roman" w:eastAsia="Times New Roman" w:hAnsi="Times New Roman" w:cs="Times New Roman"/>
                                <w:color w:val="0000FF"/>
                                <w:sz w:val="11"/>
                              </w:rPr>
                              <w:t>PÚBLICA</w:t>
                            </w:r>
                            <w:r>
                              <w:rPr>
                                <w:rFonts w:ascii="Times New Roman" w:eastAsia="Times New Roman" w:hAnsi="Times New Roman" w:cs="Times New Roman"/>
                                <w:color w:val="0000FF"/>
                                <w:spacing w:val="1"/>
                                <w:sz w:val="11"/>
                              </w:rPr>
                              <w:t xml:space="preserve"> </w:t>
                            </w:r>
                            <w:r>
                              <w:rPr>
                                <w:rFonts w:ascii="Times New Roman" w:eastAsia="Times New Roman" w:hAnsi="Times New Roman" w:cs="Times New Roman"/>
                                <w:color w:val="0000FF"/>
                                <w:sz w:val="11"/>
                              </w:rPr>
                              <w:t>Nº</w:t>
                            </w:r>
                            <w:r>
                              <w:rPr>
                                <w:rFonts w:ascii="Times New Roman" w:eastAsia="Times New Roman" w:hAnsi="Times New Roman" w:cs="Times New Roman"/>
                                <w:color w:val="0000FF"/>
                                <w:spacing w:val="2"/>
                                <w:sz w:val="11"/>
                              </w:rPr>
                              <w:t xml:space="preserve"> </w:t>
                            </w:r>
                            <w:r>
                              <w:rPr>
                                <w:rFonts w:ascii="Times New Roman" w:eastAsia="Times New Roman" w:hAnsi="Times New Roman" w:cs="Times New Roman"/>
                                <w:color w:val="0000FF"/>
                                <w:sz w:val="11"/>
                              </w:rPr>
                              <w:t>023/2024</w:t>
                            </w:r>
                          </w:p>
                        </w:txbxContent>
                      </wps:txbx>
                      <wps:bodyPr horzOverflow="overflow" vert="horz" lIns="0" tIns="0" rIns="0" bIns="0" rtlCol="0">
                        <a:noAutofit/>
                      </wps:bodyPr>
                    </wps:wsp>
                    <wps:wsp>
                      <wps:cNvPr id="50063" name="Shape 50063"/>
                      <wps:cNvSpPr/>
                      <wps:spPr>
                        <a:xfrm>
                          <a:off x="0" y="89916"/>
                          <a:ext cx="6554724" cy="9144"/>
                        </a:xfrm>
                        <a:custGeom>
                          <a:avLst/>
                          <a:gdLst/>
                          <a:ahLst/>
                          <a:cxnLst/>
                          <a:rect l="0" t="0" r="0" b="0"/>
                          <a:pathLst>
                            <a:path w="6554724" h="9144">
                              <a:moveTo>
                                <a:pt x="0" y="0"/>
                              </a:moveTo>
                              <a:lnTo>
                                <a:pt x="6554724" y="0"/>
                              </a:lnTo>
                              <a:lnTo>
                                <a:pt x="6554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064" name="Shape 50064"/>
                      <wps:cNvSpPr/>
                      <wps:spPr>
                        <a:xfrm>
                          <a:off x="0" y="0"/>
                          <a:ext cx="6562345" cy="9144"/>
                        </a:xfrm>
                        <a:custGeom>
                          <a:avLst/>
                          <a:gdLst/>
                          <a:ahLst/>
                          <a:cxnLst/>
                          <a:rect l="0" t="0" r="0" b="0"/>
                          <a:pathLst>
                            <a:path w="6562345" h="9144">
                              <a:moveTo>
                                <a:pt x="0" y="0"/>
                              </a:moveTo>
                              <a:lnTo>
                                <a:pt x="6562345" y="0"/>
                              </a:lnTo>
                              <a:lnTo>
                                <a:pt x="65623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7612" style="width:516.72pt;height:7.44pt;position:absolute;mso-position-horizontal-relative:page;mso-position-horizontal:absolute;margin-left:37.8pt;mso-position-vertical-relative:page;margin-top:57pt;" coordsize="65623,944">
              <v:rect id="Rectangle 47615" style="position:absolute;width:28557;height:857;left:22082;top:156;" filled="f" stroked="f">
                <v:textbox inset="0,0,0,0">
                  <w:txbxContent>
                    <w:p>
                      <w:pPr>
                        <w:spacing w:before="0" w:after="160" w:line="259" w:lineRule="auto"/>
                      </w:pPr>
                      <w:r>
                        <w:rPr>
                          <w:rFonts w:cs="Times New Roman" w:hAnsi="Times New Roman" w:eastAsia="Times New Roman" w:ascii="Times New Roman"/>
                          <w:color w:val="0000ff"/>
                          <w:sz w:val="11"/>
                        </w:rPr>
                        <w:t xml:space="preserve">CONTRIBUIÇÃO</w:t>
                      </w:r>
                      <w:r>
                        <w:rPr>
                          <w:rFonts w:cs="Times New Roman" w:hAnsi="Times New Roman" w:eastAsia="Times New Roman" w:ascii="Times New Roman"/>
                          <w:color w:val="0000ff"/>
                          <w:spacing w:val="4"/>
                          <w:sz w:val="11"/>
                        </w:rPr>
                        <w:t xml:space="preserve"> </w:t>
                      </w:r>
                      <w:r>
                        <w:rPr>
                          <w:rFonts w:cs="Times New Roman" w:hAnsi="Times New Roman" w:eastAsia="Times New Roman" w:ascii="Times New Roman"/>
                          <w:color w:val="0000ff"/>
                          <w:sz w:val="11"/>
                        </w:rPr>
                        <w:t xml:space="preserve">REFERENTE</w:t>
                      </w:r>
                      <w:r>
                        <w:rPr>
                          <w:rFonts w:cs="Times New Roman" w:hAnsi="Times New Roman" w:eastAsia="Times New Roman" w:ascii="Times New Roman"/>
                          <w:color w:val="0000ff"/>
                          <w:spacing w:val="4"/>
                          <w:sz w:val="11"/>
                        </w:rPr>
                        <w:t xml:space="preserve"> </w:t>
                      </w:r>
                      <w:r>
                        <w:rPr>
                          <w:rFonts w:cs="Times New Roman" w:hAnsi="Times New Roman" w:eastAsia="Times New Roman" w:ascii="Times New Roman"/>
                          <w:color w:val="0000ff"/>
                          <w:sz w:val="11"/>
                        </w:rPr>
                        <w:t xml:space="preserve">À</w:t>
                      </w:r>
                      <w:r>
                        <w:rPr>
                          <w:rFonts w:cs="Times New Roman" w:hAnsi="Times New Roman" w:eastAsia="Times New Roman" w:ascii="Times New Roman"/>
                          <w:color w:val="0000ff"/>
                          <w:spacing w:val="3"/>
                          <w:sz w:val="11"/>
                        </w:rPr>
                        <w:t xml:space="preserve"> </w:t>
                      </w:r>
                      <w:r>
                        <w:rPr>
                          <w:rFonts w:cs="Times New Roman" w:hAnsi="Times New Roman" w:eastAsia="Times New Roman" w:ascii="Times New Roman"/>
                          <w:color w:val="0000ff"/>
                          <w:sz w:val="11"/>
                        </w:rPr>
                        <w:t xml:space="preserve">CONSULTA</w:t>
                      </w:r>
                      <w:r>
                        <w:rPr>
                          <w:rFonts w:cs="Times New Roman" w:hAnsi="Times New Roman" w:eastAsia="Times New Roman" w:ascii="Times New Roman"/>
                          <w:color w:val="0000ff"/>
                          <w:spacing w:val="1"/>
                          <w:sz w:val="11"/>
                        </w:rPr>
                        <w:t xml:space="preserve"> </w:t>
                      </w:r>
                      <w:r>
                        <w:rPr>
                          <w:rFonts w:cs="Times New Roman" w:hAnsi="Times New Roman" w:eastAsia="Times New Roman" w:ascii="Times New Roman"/>
                          <w:color w:val="0000ff"/>
                          <w:sz w:val="11"/>
                        </w:rPr>
                        <w:t xml:space="preserve">PÚBLICA</w:t>
                      </w:r>
                      <w:r>
                        <w:rPr>
                          <w:rFonts w:cs="Times New Roman" w:hAnsi="Times New Roman" w:eastAsia="Times New Roman" w:ascii="Times New Roman"/>
                          <w:color w:val="0000ff"/>
                          <w:spacing w:val="1"/>
                          <w:sz w:val="11"/>
                        </w:rPr>
                        <w:t xml:space="preserve"> </w:t>
                      </w:r>
                      <w:r>
                        <w:rPr>
                          <w:rFonts w:cs="Times New Roman" w:hAnsi="Times New Roman" w:eastAsia="Times New Roman" w:ascii="Times New Roman"/>
                          <w:color w:val="0000ff"/>
                          <w:sz w:val="11"/>
                        </w:rPr>
                        <w:t xml:space="preserve">Nº</w:t>
                      </w:r>
                      <w:r>
                        <w:rPr>
                          <w:rFonts w:cs="Times New Roman" w:hAnsi="Times New Roman" w:eastAsia="Times New Roman" w:ascii="Times New Roman"/>
                          <w:color w:val="0000ff"/>
                          <w:spacing w:val="2"/>
                          <w:sz w:val="11"/>
                        </w:rPr>
                        <w:t xml:space="preserve"> </w:t>
                      </w:r>
                      <w:r>
                        <w:rPr>
                          <w:rFonts w:cs="Times New Roman" w:hAnsi="Times New Roman" w:eastAsia="Times New Roman" w:ascii="Times New Roman"/>
                          <w:color w:val="0000ff"/>
                          <w:sz w:val="11"/>
                        </w:rPr>
                        <w:t xml:space="preserve">023/2024</w:t>
                      </w:r>
                    </w:p>
                  </w:txbxContent>
                </v:textbox>
              </v:rect>
              <v:shape id="Shape 50079" style="position:absolute;width:65547;height:91;left:0;top:899;" coordsize="6554724,9144" path="m0,0l6554724,0l6554724,9144l0,9144l0,0">
                <v:stroke weight="0pt" endcap="flat" joinstyle="miter" miterlimit="10" on="false" color="#000000" opacity="0"/>
                <v:fill on="true" color="#000000"/>
              </v:shape>
              <v:shape id="Shape 50080" style="position:absolute;width:65623;height:91;left:0;top:0;" coordsize="6562345,9144" path="m0,0l6562345,0l6562345,9144l0,9144l0,0">
                <v:stroke weight="0pt" endcap="flat" joinstyle="miter" miterlimit="10" on="false" color="#000000" opacity="0"/>
                <v:fill on="true" color="#000000"/>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3DE"/>
    <w:rsid w:val="00225BE0"/>
    <w:rsid w:val="00533CFA"/>
    <w:rsid w:val="007E13DE"/>
    <w:rsid w:val="00915FCE"/>
    <w:rsid w:val="00BD1811"/>
    <w:rsid w:val="00C303F0"/>
    <w:rsid w:val="00C4563F"/>
    <w:rsid w:val="00DB62DA"/>
    <w:rsid w:val="00E365D5"/>
    <w:rsid w:val="00EF01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1E0A"/>
  <w15:docId w15:val="{B11493D9-AE28-412C-8360-2F6296B5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header" Target="header4.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g"/><Relationship Id="rId19"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13448</Words>
  <Characters>72622</Characters>
  <Application>Microsoft Office Word</Application>
  <DocSecurity>0</DocSecurity>
  <Lines>605</Lines>
  <Paragraphs>171</Paragraphs>
  <ScaleCrop>false</ScaleCrop>
  <Company/>
  <LinksUpToDate>false</LinksUpToDate>
  <CharactersWithSpaces>85899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Contribuição CONCEN EMS CP 23 Acesso Rede Basica.xlsx</dc:title>
  <dc:subject/>
  <dc:creator>Ricardo Vidinich</dc:creator>
  <cp:keywords/>
  <cp:lastModifiedBy>Rosimeire Costa</cp:lastModifiedBy>
  <cp:revision>8</cp:revision>
  <dcterms:created xsi:type="dcterms:W3CDTF">2024-11-19T02:29:00Z</dcterms:created>
  <dcterms:modified xsi:type="dcterms:W3CDTF">2024-11-19T02:39:00Z</dcterms:modified>
</cp:coreProperties>
</file>