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00E11A" w14:textId="77777777" w:rsidR="00541219" w:rsidRDefault="00541219">
      <w:pPr>
        <w:spacing w:after="0"/>
        <w:ind w:left="-1440" w:right="8609" w:firstLine="0"/>
      </w:pPr>
    </w:p>
    <w:tbl>
      <w:tblPr>
        <w:tblStyle w:val="TableGrid"/>
        <w:tblW w:w="10264" w:type="dxa"/>
        <w:tblInd w:w="-688" w:type="dxa"/>
        <w:tblCellMar>
          <w:top w:w="0" w:type="dxa"/>
          <w:left w:w="19" w:type="dxa"/>
          <w:bottom w:w="0" w:type="dxa"/>
          <w:right w:w="21" w:type="dxa"/>
        </w:tblCellMar>
        <w:tblLook w:val="04A0" w:firstRow="1" w:lastRow="0" w:firstColumn="1" w:lastColumn="0" w:noHBand="0" w:noVBand="1"/>
      </w:tblPr>
      <w:tblGrid>
        <w:gridCol w:w="5344"/>
        <w:gridCol w:w="1229"/>
        <w:gridCol w:w="3691"/>
      </w:tblGrid>
      <w:tr w:rsidR="00541219" w14:paraId="33EA4778" w14:textId="77777777">
        <w:trPr>
          <w:trHeight w:val="150"/>
        </w:trPr>
        <w:tc>
          <w:tcPr>
            <w:tcW w:w="10264" w:type="dxa"/>
            <w:gridSpan w:val="3"/>
            <w:tcBorders>
              <w:top w:val="single" w:sz="6" w:space="0" w:color="000000"/>
              <w:left w:val="single" w:sz="6" w:space="0" w:color="000000"/>
              <w:bottom w:val="single" w:sz="3" w:space="0" w:color="000000"/>
              <w:right w:val="single" w:sz="6" w:space="0" w:color="000000"/>
            </w:tcBorders>
          </w:tcPr>
          <w:p w14:paraId="71C8802E" w14:textId="77777777" w:rsidR="00541219" w:rsidRDefault="00000000">
            <w:pPr>
              <w:spacing w:after="0"/>
              <w:ind w:left="17" w:firstLine="0"/>
              <w:jc w:val="center"/>
            </w:pPr>
            <w:r>
              <w:rPr>
                <w:color w:val="0000FF"/>
                <w:sz w:val="12"/>
              </w:rPr>
              <w:t>CONTRIBUIÇÃO REFERENTE À CONSULTA PÚBLICA Nº 27/2024</w:t>
            </w:r>
          </w:p>
        </w:tc>
      </w:tr>
      <w:tr w:rsidR="00541219" w14:paraId="37E1BB50" w14:textId="77777777">
        <w:trPr>
          <w:trHeight w:val="149"/>
        </w:trPr>
        <w:tc>
          <w:tcPr>
            <w:tcW w:w="10264" w:type="dxa"/>
            <w:gridSpan w:val="3"/>
            <w:tcBorders>
              <w:top w:val="single" w:sz="3" w:space="0" w:color="000000"/>
              <w:left w:val="single" w:sz="6" w:space="0" w:color="000000"/>
              <w:bottom w:val="single" w:sz="3" w:space="0" w:color="000000"/>
              <w:right w:val="single" w:sz="6" w:space="0" w:color="000000"/>
            </w:tcBorders>
          </w:tcPr>
          <w:p w14:paraId="3DC489A8" w14:textId="77777777" w:rsidR="00541219" w:rsidRDefault="00000000">
            <w:pPr>
              <w:spacing w:after="0"/>
              <w:ind w:left="5" w:firstLine="0"/>
              <w:jc w:val="center"/>
            </w:pPr>
            <w:r>
              <w:rPr>
                <w:color w:val="0000FF"/>
                <w:sz w:val="12"/>
              </w:rPr>
              <w:t>NOME DA INSTITUIÇÃO: CONCEN Conselho de Consumidores da Energisa Mato Grosso do Sul</w:t>
            </w:r>
          </w:p>
        </w:tc>
      </w:tr>
      <w:tr w:rsidR="00541219" w14:paraId="2D38D821" w14:textId="77777777">
        <w:trPr>
          <w:trHeight w:val="149"/>
        </w:trPr>
        <w:tc>
          <w:tcPr>
            <w:tcW w:w="10264" w:type="dxa"/>
            <w:gridSpan w:val="3"/>
            <w:tcBorders>
              <w:top w:val="single" w:sz="3" w:space="0" w:color="000000"/>
              <w:left w:val="single" w:sz="6" w:space="0" w:color="000000"/>
              <w:bottom w:val="single" w:sz="3" w:space="0" w:color="000000"/>
              <w:right w:val="single" w:sz="6" w:space="0" w:color="000000"/>
            </w:tcBorders>
          </w:tcPr>
          <w:p w14:paraId="69DBB843" w14:textId="77777777" w:rsidR="00541219" w:rsidRDefault="00000000">
            <w:pPr>
              <w:tabs>
                <w:tab w:val="center" w:pos="626"/>
                <w:tab w:val="center" w:pos="5122"/>
              </w:tabs>
              <w:spacing w:after="0"/>
              <w:ind w:left="0" w:firstLine="0"/>
            </w:pPr>
            <w:r>
              <w:rPr>
                <w:rFonts w:ascii="Calibri" w:eastAsia="Calibri" w:hAnsi="Calibri" w:cs="Calibri"/>
                <w:sz w:val="22"/>
              </w:rPr>
              <w:tab/>
            </w:r>
            <w:r>
              <w:rPr>
                <w:noProof/>
              </w:rPr>
              <w:drawing>
                <wp:inline distT="0" distB="0" distL="0" distR="0" wp14:anchorId="01D11C30" wp14:editId="4E330779">
                  <wp:extent cx="585216" cy="362712"/>
                  <wp:effectExtent l="0" t="0" r="0" b="0"/>
                  <wp:docPr id="329" name="Picture 329"/>
                  <wp:cNvGraphicFramePr/>
                  <a:graphic xmlns:a="http://schemas.openxmlformats.org/drawingml/2006/main">
                    <a:graphicData uri="http://schemas.openxmlformats.org/drawingml/2006/picture">
                      <pic:pic xmlns:pic="http://schemas.openxmlformats.org/drawingml/2006/picture">
                        <pic:nvPicPr>
                          <pic:cNvPr id="329" name="Picture 329"/>
                          <pic:cNvPicPr/>
                        </pic:nvPicPr>
                        <pic:blipFill>
                          <a:blip r:embed="rId5"/>
                          <a:stretch>
                            <a:fillRect/>
                          </a:stretch>
                        </pic:blipFill>
                        <pic:spPr>
                          <a:xfrm>
                            <a:off x="0" y="0"/>
                            <a:ext cx="585216" cy="362712"/>
                          </a:xfrm>
                          <a:prstGeom prst="rect">
                            <a:avLst/>
                          </a:prstGeom>
                        </pic:spPr>
                      </pic:pic>
                    </a:graphicData>
                  </a:graphic>
                </wp:inline>
              </w:drawing>
            </w:r>
            <w:r>
              <w:rPr>
                <w:color w:val="0000FF"/>
                <w:sz w:val="12"/>
              </w:rPr>
              <w:tab/>
              <w:t>AGÊNCIA NACIONAL DE ENERGIA ELÉTRICA – ANEEL</w:t>
            </w:r>
          </w:p>
        </w:tc>
      </w:tr>
      <w:tr w:rsidR="00541219" w14:paraId="33388C36" w14:textId="77777777">
        <w:trPr>
          <w:trHeight w:val="178"/>
        </w:trPr>
        <w:tc>
          <w:tcPr>
            <w:tcW w:w="10264" w:type="dxa"/>
            <w:gridSpan w:val="3"/>
            <w:tcBorders>
              <w:top w:val="single" w:sz="3" w:space="0" w:color="000000"/>
              <w:left w:val="single" w:sz="6" w:space="0" w:color="000000"/>
              <w:bottom w:val="single" w:sz="3" w:space="0" w:color="000000"/>
              <w:right w:val="single" w:sz="6" w:space="0" w:color="000000"/>
            </w:tcBorders>
          </w:tcPr>
          <w:p w14:paraId="78C83224" w14:textId="77777777" w:rsidR="00541219" w:rsidRDefault="00000000">
            <w:pPr>
              <w:spacing w:after="0"/>
              <w:ind w:left="15" w:firstLine="0"/>
              <w:jc w:val="center"/>
            </w:pPr>
            <w:r>
              <w:rPr>
                <w:color w:val="0000FF"/>
              </w:rPr>
              <w:t>NOTA TÉCNICA nº 1.056/2024-SCE-SFF-SFT-SMA-STE-STD-STR/ANEEL de 09 de outubro de 2024.</w:t>
            </w:r>
          </w:p>
        </w:tc>
      </w:tr>
      <w:tr w:rsidR="00541219" w14:paraId="747BFEA0" w14:textId="77777777">
        <w:trPr>
          <w:trHeight w:val="194"/>
        </w:trPr>
        <w:tc>
          <w:tcPr>
            <w:tcW w:w="10264" w:type="dxa"/>
            <w:gridSpan w:val="3"/>
            <w:tcBorders>
              <w:top w:val="single" w:sz="3" w:space="0" w:color="000000"/>
              <w:left w:val="single" w:sz="6" w:space="0" w:color="000000"/>
              <w:bottom w:val="single" w:sz="3" w:space="0" w:color="000000"/>
              <w:right w:val="single" w:sz="6" w:space="0" w:color="000000"/>
            </w:tcBorders>
          </w:tcPr>
          <w:p w14:paraId="1B67B448" w14:textId="77777777" w:rsidR="00541219" w:rsidRDefault="00000000">
            <w:pPr>
              <w:spacing w:after="0"/>
              <w:ind w:left="2" w:firstLine="0"/>
              <w:jc w:val="center"/>
            </w:pPr>
            <w:r>
              <w:rPr>
                <w:color w:val="0000FF"/>
              </w:rPr>
              <w:t xml:space="preserve">                                                               EMENTA: Obter subsídios para o aprimoramento da minuta de termo aditivo ao contrato de concessão de distribuição de energia elétrica com vistas à prorrogação das concessões.</w:t>
            </w:r>
          </w:p>
        </w:tc>
      </w:tr>
      <w:tr w:rsidR="00541219" w14:paraId="76FD62D4" w14:textId="77777777">
        <w:trPr>
          <w:trHeight w:val="132"/>
        </w:trPr>
        <w:tc>
          <w:tcPr>
            <w:tcW w:w="10264" w:type="dxa"/>
            <w:gridSpan w:val="3"/>
            <w:tcBorders>
              <w:top w:val="single" w:sz="3" w:space="0" w:color="000000"/>
              <w:left w:val="single" w:sz="6" w:space="0" w:color="000000"/>
              <w:bottom w:val="single" w:sz="3" w:space="0" w:color="000000"/>
              <w:right w:val="single" w:sz="6" w:space="0" w:color="000000"/>
            </w:tcBorders>
          </w:tcPr>
          <w:p w14:paraId="53E44379" w14:textId="77777777" w:rsidR="00541219" w:rsidRDefault="00000000">
            <w:pPr>
              <w:spacing w:after="0"/>
              <w:ind w:left="2" w:firstLine="0"/>
              <w:jc w:val="center"/>
            </w:pPr>
            <w:r>
              <w:rPr>
                <w:color w:val="0000FF"/>
                <w:sz w:val="11"/>
              </w:rPr>
              <w:t>CONTRIBUIÇÕES RECEBIDAS</w:t>
            </w:r>
          </w:p>
        </w:tc>
      </w:tr>
      <w:tr w:rsidR="00541219" w14:paraId="39EBAFA6" w14:textId="77777777">
        <w:trPr>
          <w:trHeight w:val="275"/>
        </w:trPr>
        <w:tc>
          <w:tcPr>
            <w:tcW w:w="10264" w:type="dxa"/>
            <w:gridSpan w:val="3"/>
            <w:tcBorders>
              <w:top w:val="single" w:sz="3" w:space="0" w:color="000000"/>
              <w:left w:val="single" w:sz="6" w:space="0" w:color="000000"/>
              <w:bottom w:val="single" w:sz="6" w:space="0" w:color="000000"/>
              <w:right w:val="single" w:sz="6" w:space="0" w:color="000000"/>
            </w:tcBorders>
          </w:tcPr>
          <w:p w14:paraId="71C5521A" w14:textId="77777777" w:rsidR="00541219" w:rsidRDefault="00000000">
            <w:pPr>
              <w:spacing w:after="0"/>
              <w:ind w:left="0" w:firstLine="0"/>
            </w:pPr>
            <w:r>
              <w:t>IMPORTANTE: Os comentários e sugestões referentes às contribuições deverão ser fundamentados e justificados, mencionando-se os artigos, parágrafos e incisos a que se referem, devendo ser acompanhados de textos alternativos e substitutivos quando envolverem sugestões de inclusão ou alteração, parcial ou total, de qualquer dispositivo.</w:t>
            </w:r>
          </w:p>
        </w:tc>
      </w:tr>
      <w:tr w:rsidR="00541219" w14:paraId="1876CF6D" w14:textId="77777777">
        <w:trPr>
          <w:trHeight w:val="261"/>
        </w:trPr>
        <w:tc>
          <w:tcPr>
            <w:tcW w:w="5344" w:type="dxa"/>
            <w:tcBorders>
              <w:top w:val="single" w:sz="6" w:space="0" w:color="000000"/>
              <w:left w:val="single" w:sz="6" w:space="0" w:color="000000"/>
              <w:bottom w:val="double" w:sz="4" w:space="0" w:color="000000"/>
              <w:right w:val="single" w:sz="6" w:space="0" w:color="000000"/>
            </w:tcBorders>
            <w:shd w:val="clear" w:color="auto" w:fill="FF0000"/>
          </w:tcPr>
          <w:p w14:paraId="21BE450E" w14:textId="77777777" w:rsidR="00541219" w:rsidRDefault="00000000">
            <w:pPr>
              <w:spacing w:after="0"/>
              <w:ind w:left="4" w:firstLine="0"/>
              <w:jc w:val="center"/>
            </w:pPr>
            <w:r>
              <w:rPr>
                <w:color w:val="FFFFFF"/>
                <w:sz w:val="11"/>
              </w:rPr>
              <w:t xml:space="preserve">TEXTO/ANEEL </w:t>
            </w:r>
          </w:p>
        </w:tc>
        <w:tc>
          <w:tcPr>
            <w:tcW w:w="1229" w:type="dxa"/>
            <w:tcBorders>
              <w:top w:val="single" w:sz="6" w:space="0" w:color="000000"/>
              <w:left w:val="single" w:sz="6" w:space="0" w:color="000000"/>
              <w:bottom w:val="single" w:sz="6" w:space="0" w:color="000000"/>
              <w:right w:val="single" w:sz="6" w:space="0" w:color="000000"/>
            </w:tcBorders>
            <w:shd w:val="clear" w:color="auto" w:fill="FF0000"/>
          </w:tcPr>
          <w:p w14:paraId="1B6BE415" w14:textId="77777777" w:rsidR="00541219" w:rsidRDefault="00000000">
            <w:pPr>
              <w:spacing w:after="0"/>
              <w:ind w:left="70" w:firstLine="0"/>
            </w:pPr>
            <w:r>
              <w:rPr>
                <w:color w:val="FFFFFF"/>
                <w:sz w:val="11"/>
              </w:rPr>
              <w:t>TEXTO/INSTITUIÇÃO</w:t>
            </w:r>
          </w:p>
        </w:tc>
        <w:tc>
          <w:tcPr>
            <w:tcW w:w="3691" w:type="dxa"/>
            <w:tcBorders>
              <w:top w:val="single" w:sz="6" w:space="0" w:color="000000"/>
              <w:left w:val="single" w:sz="6" w:space="0" w:color="000000"/>
              <w:bottom w:val="single" w:sz="6" w:space="0" w:color="000000"/>
              <w:right w:val="single" w:sz="6" w:space="0" w:color="000000"/>
            </w:tcBorders>
            <w:shd w:val="clear" w:color="auto" w:fill="FF0000"/>
          </w:tcPr>
          <w:p w14:paraId="1519C3BC" w14:textId="77777777" w:rsidR="00541219" w:rsidRDefault="00000000">
            <w:pPr>
              <w:spacing w:after="0"/>
              <w:ind w:left="22" w:firstLine="0"/>
              <w:jc w:val="center"/>
            </w:pPr>
            <w:r>
              <w:rPr>
                <w:color w:val="FFFFFF"/>
                <w:sz w:val="11"/>
              </w:rPr>
              <w:t>JUSTIFICATIVA/INSTITUIÇÃO</w:t>
            </w:r>
          </w:p>
        </w:tc>
      </w:tr>
      <w:tr w:rsidR="00541219" w14:paraId="2D3DF8BF" w14:textId="77777777">
        <w:trPr>
          <w:trHeight w:val="227"/>
        </w:trPr>
        <w:tc>
          <w:tcPr>
            <w:tcW w:w="5344" w:type="dxa"/>
            <w:tcBorders>
              <w:top w:val="double" w:sz="4" w:space="0" w:color="000000"/>
              <w:left w:val="single" w:sz="3" w:space="0" w:color="000000"/>
              <w:bottom w:val="double" w:sz="3" w:space="0" w:color="000000"/>
              <w:right w:val="single" w:sz="3" w:space="0" w:color="000000"/>
            </w:tcBorders>
          </w:tcPr>
          <w:p w14:paraId="2100510E" w14:textId="77777777" w:rsidR="00541219" w:rsidRDefault="00000000">
            <w:pPr>
              <w:spacing w:after="0"/>
              <w:ind w:left="2" w:firstLine="0"/>
            </w:pPr>
            <w:r>
              <w:rPr>
                <w:color w:val="162937"/>
              </w:rPr>
              <w:t>NOTA TÉCNICA nº 1.056/2024-SCE-SFF-SFT-SMA-STE-STD-STR/ANEEL</w:t>
            </w:r>
          </w:p>
          <w:p w14:paraId="2432525D" w14:textId="77777777" w:rsidR="00541219" w:rsidRDefault="00000000">
            <w:pPr>
              <w:spacing w:after="0"/>
              <w:ind w:left="0" w:firstLine="0"/>
            </w:pPr>
            <w:r>
              <w:rPr>
                <w:sz w:val="8"/>
              </w:rPr>
              <w:t>Em 9 de outubro de 2024.</w:t>
            </w:r>
          </w:p>
        </w:tc>
        <w:tc>
          <w:tcPr>
            <w:tcW w:w="4920" w:type="dxa"/>
            <w:gridSpan w:val="2"/>
            <w:vMerge w:val="restart"/>
            <w:tcBorders>
              <w:top w:val="single" w:sz="6" w:space="0" w:color="000000"/>
              <w:left w:val="single" w:sz="3" w:space="0" w:color="000000"/>
              <w:bottom w:val="single" w:sz="3" w:space="0" w:color="000000"/>
              <w:right w:val="nil"/>
            </w:tcBorders>
          </w:tcPr>
          <w:p w14:paraId="398E902E" w14:textId="77777777" w:rsidR="00541219" w:rsidRDefault="00541219">
            <w:pPr>
              <w:spacing w:after="160"/>
              <w:ind w:left="0" w:firstLine="0"/>
            </w:pPr>
          </w:p>
        </w:tc>
      </w:tr>
      <w:tr w:rsidR="00541219" w14:paraId="4F241A82" w14:textId="77777777">
        <w:trPr>
          <w:trHeight w:val="396"/>
        </w:trPr>
        <w:tc>
          <w:tcPr>
            <w:tcW w:w="5344" w:type="dxa"/>
            <w:tcBorders>
              <w:top w:val="double" w:sz="3" w:space="0" w:color="000000"/>
              <w:left w:val="single" w:sz="3" w:space="0" w:color="000000"/>
              <w:bottom w:val="double" w:sz="3" w:space="0" w:color="000000"/>
              <w:right w:val="single" w:sz="3" w:space="0" w:color="000000"/>
            </w:tcBorders>
          </w:tcPr>
          <w:p w14:paraId="3D7C8E87" w14:textId="77777777" w:rsidR="00541219" w:rsidRDefault="00000000">
            <w:pPr>
              <w:spacing w:after="0"/>
              <w:ind w:left="2" w:firstLine="0"/>
            </w:pPr>
            <w:r>
              <w:rPr>
                <w:color w:val="162937"/>
              </w:rPr>
              <w:t>Referência: 48500.002208/2024-34</w:t>
            </w:r>
          </w:p>
          <w:p w14:paraId="6E74B465" w14:textId="77777777" w:rsidR="00541219" w:rsidRDefault="00000000">
            <w:pPr>
              <w:spacing w:after="0"/>
              <w:ind w:left="0" w:firstLine="0"/>
            </w:pPr>
            <w:r>
              <w:rPr>
                <w:sz w:val="8"/>
              </w:rPr>
              <w:t>Assunto: Abertura de Consulta Pública para definição de Termo Aditivo ao Contrato de Concessão para prestação do serviço público de distribuição de energia elétrica, com vista a formalizar a prorrogação das concessões, nos termos do Decreto nº 12.068, de 20 de junho de 2024, e da Lei nº 9.074, de 7 de julho de 1995.</w:t>
            </w:r>
          </w:p>
        </w:tc>
        <w:tc>
          <w:tcPr>
            <w:tcW w:w="0" w:type="auto"/>
            <w:gridSpan w:val="2"/>
            <w:vMerge/>
            <w:tcBorders>
              <w:top w:val="nil"/>
              <w:left w:val="single" w:sz="3" w:space="0" w:color="000000"/>
              <w:bottom w:val="nil"/>
              <w:right w:val="nil"/>
            </w:tcBorders>
          </w:tcPr>
          <w:p w14:paraId="0E39815A" w14:textId="77777777" w:rsidR="00541219" w:rsidRDefault="00541219">
            <w:pPr>
              <w:spacing w:after="160"/>
              <w:ind w:left="0" w:firstLine="0"/>
            </w:pPr>
          </w:p>
        </w:tc>
      </w:tr>
      <w:tr w:rsidR="00541219" w14:paraId="35658374" w14:textId="77777777">
        <w:trPr>
          <w:trHeight w:val="492"/>
        </w:trPr>
        <w:tc>
          <w:tcPr>
            <w:tcW w:w="5344" w:type="dxa"/>
            <w:tcBorders>
              <w:top w:val="double" w:sz="3" w:space="0" w:color="000000"/>
              <w:left w:val="single" w:sz="3" w:space="0" w:color="000000"/>
              <w:bottom w:val="double" w:sz="3" w:space="0" w:color="000000"/>
              <w:right w:val="single" w:sz="3" w:space="0" w:color="000000"/>
            </w:tcBorders>
          </w:tcPr>
          <w:p w14:paraId="3719CBA3" w14:textId="77777777" w:rsidR="00541219" w:rsidRDefault="00000000">
            <w:pPr>
              <w:spacing w:after="0"/>
              <w:ind w:left="2" w:firstLine="0"/>
            </w:pPr>
            <w:r>
              <w:t>I. DO OBJETIVO</w:t>
            </w:r>
          </w:p>
          <w:p w14:paraId="73A600F5" w14:textId="77777777" w:rsidR="00541219" w:rsidRDefault="00000000">
            <w:pPr>
              <w:spacing w:after="0"/>
              <w:ind w:left="0" w:right="14" w:firstLine="0"/>
            </w:pPr>
            <w:r>
              <w:rPr>
                <w:sz w:val="8"/>
              </w:rPr>
              <w:t>1. Estabelecer os procedimentos para abertura de consulta pública no intuito de colher subsídios e informações adicionais para a definição da minuta de termo aditivo ao contrato de concessão para prestação do serviço público de distribuição de energia elétrica, que irá formalizar as prorrogações de concessões de distribuição de energia elétrica de que trata o §3o do art. 4o da Lei nº 9.074, de 1995, que não tenham sido objeto de prorrogação, nos termos do Decreto nº 12.068, de 20 de junho de 2024 e da Lei nº 9.074, de 7 de julho de 1995.</w:t>
            </w:r>
          </w:p>
        </w:tc>
        <w:tc>
          <w:tcPr>
            <w:tcW w:w="0" w:type="auto"/>
            <w:gridSpan w:val="2"/>
            <w:vMerge/>
            <w:tcBorders>
              <w:top w:val="nil"/>
              <w:left w:val="single" w:sz="3" w:space="0" w:color="000000"/>
              <w:bottom w:val="nil"/>
              <w:right w:val="nil"/>
            </w:tcBorders>
          </w:tcPr>
          <w:p w14:paraId="427FA18D" w14:textId="77777777" w:rsidR="00541219" w:rsidRDefault="00541219">
            <w:pPr>
              <w:spacing w:after="160"/>
              <w:ind w:left="0" w:firstLine="0"/>
            </w:pPr>
          </w:p>
        </w:tc>
      </w:tr>
      <w:tr w:rsidR="00541219" w14:paraId="04F9A3DA" w14:textId="77777777">
        <w:trPr>
          <w:trHeight w:val="338"/>
        </w:trPr>
        <w:tc>
          <w:tcPr>
            <w:tcW w:w="5344" w:type="dxa"/>
            <w:tcBorders>
              <w:top w:val="double" w:sz="3" w:space="0" w:color="000000"/>
              <w:left w:val="single" w:sz="3" w:space="0" w:color="000000"/>
              <w:bottom w:val="single" w:sz="3" w:space="0" w:color="000000"/>
              <w:right w:val="single" w:sz="3" w:space="0" w:color="000000"/>
            </w:tcBorders>
          </w:tcPr>
          <w:p w14:paraId="1270BBD4" w14:textId="77777777" w:rsidR="00541219" w:rsidRDefault="00000000">
            <w:pPr>
              <w:spacing w:after="0"/>
              <w:ind w:left="2" w:firstLine="0"/>
            </w:pPr>
            <w:r>
              <w:t>II – DOS FATOS</w:t>
            </w:r>
          </w:p>
          <w:p w14:paraId="09E280D2" w14:textId="77777777" w:rsidR="00541219" w:rsidRDefault="00000000">
            <w:pPr>
              <w:spacing w:after="0"/>
              <w:ind w:left="0" w:firstLine="0"/>
            </w:pPr>
            <w:r>
              <w:rPr>
                <w:sz w:val="8"/>
              </w:rPr>
              <w:t>2. Em 21 de junho de 2024 foi publicado o Decreto no 12.068, de 20 de junho de 2024, regulamentando a licitação e a prorrogação das concessões de distribuição de energia elétrica de que trata o art. 4o da Lei no 9.074, de 7 de julho de 1995; e estabelecendo as diretrizes para a modernização das concessões de serviço público de distribuição de energia elétrica.</w:t>
            </w:r>
          </w:p>
        </w:tc>
        <w:tc>
          <w:tcPr>
            <w:tcW w:w="0" w:type="auto"/>
            <w:gridSpan w:val="2"/>
            <w:vMerge/>
            <w:tcBorders>
              <w:top w:val="nil"/>
              <w:left w:val="single" w:sz="3" w:space="0" w:color="000000"/>
              <w:bottom w:val="nil"/>
              <w:right w:val="nil"/>
            </w:tcBorders>
          </w:tcPr>
          <w:p w14:paraId="5174B2BB" w14:textId="77777777" w:rsidR="00541219" w:rsidRDefault="00541219">
            <w:pPr>
              <w:spacing w:after="160"/>
              <w:ind w:left="0" w:firstLine="0"/>
            </w:pPr>
          </w:p>
        </w:tc>
      </w:tr>
      <w:tr w:rsidR="00541219" w14:paraId="349EA31B" w14:textId="77777777">
        <w:trPr>
          <w:trHeight w:val="110"/>
        </w:trPr>
        <w:tc>
          <w:tcPr>
            <w:tcW w:w="5344" w:type="dxa"/>
            <w:tcBorders>
              <w:top w:val="single" w:sz="3" w:space="0" w:color="000000"/>
              <w:left w:val="single" w:sz="3" w:space="0" w:color="000000"/>
              <w:bottom w:val="single" w:sz="3" w:space="0" w:color="000000"/>
              <w:right w:val="single" w:sz="3" w:space="0" w:color="000000"/>
            </w:tcBorders>
          </w:tcPr>
          <w:p w14:paraId="780F9598" w14:textId="77777777" w:rsidR="00541219" w:rsidRDefault="00000000">
            <w:pPr>
              <w:spacing w:after="0"/>
              <w:ind w:left="0" w:firstLine="0"/>
            </w:pPr>
            <w:r>
              <w:rPr>
                <w:sz w:val="8"/>
              </w:rPr>
              <w:t>3. Na Tabela 1 apresenta-se a relação das concessionárias de distribuição com contratos vincendos entre os anos de 2025 e 2031:</w:t>
            </w:r>
          </w:p>
        </w:tc>
        <w:tc>
          <w:tcPr>
            <w:tcW w:w="0" w:type="auto"/>
            <w:gridSpan w:val="2"/>
            <w:vMerge/>
            <w:tcBorders>
              <w:top w:val="nil"/>
              <w:left w:val="single" w:sz="3" w:space="0" w:color="000000"/>
              <w:bottom w:val="single" w:sz="3" w:space="0" w:color="000000"/>
              <w:right w:val="nil"/>
            </w:tcBorders>
          </w:tcPr>
          <w:p w14:paraId="08EAD94A" w14:textId="77777777" w:rsidR="00541219" w:rsidRDefault="00541219">
            <w:pPr>
              <w:spacing w:after="160"/>
              <w:ind w:left="0" w:firstLine="0"/>
            </w:pPr>
          </w:p>
        </w:tc>
      </w:tr>
      <w:tr w:rsidR="00541219" w14:paraId="6CDC7D68" w14:textId="77777777">
        <w:trPr>
          <w:trHeight w:val="2453"/>
        </w:trPr>
        <w:tc>
          <w:tcPr>
            <w:tcW w:w="5344" w:type="dxa"/>
            <w:tcBorders>
              <w:top w:val="single" w:sz="3" w:space="0" w:color="000000"/>
              <w:left w:val="single" w:sz="3" w:space="0" w:color="000000"/>
              <w:bottom w:val="single" w:sz="3" w:space="0" w:color="000000"/>
              <w:right w:val="single" w:sz="3" w:space="0" w:color="000000"/>
            </w:tcBorders>
          </w:tcPr>
          <w:p w14:paraId="44E417A1" w14:textId="77777777" w:rsidR="00541219" w:rsidRDefault="00000000">
            <w:pPr>
              <w:spacing w:after="0"/>
              <w:ind w:left="674" w:firstLine="0"/>
            </w:pPr>
            <w:r>
              <w:rPr>
                <w:noProof/>
              </w:rPr>
              <w:drawing>
                <wp:inline distT="0" distB="0" distL="0" distR="0" wp14:anchorId="16B282FB" wp14:editId="59578F61">
                  <wp:extent cx="2011680" cy="1531620"/>
                  <wp:effectExtent l="0" t="0" r="0" b="0"/>
                  <wp:docPr id="327" name="Picture 327"/>
                  <wp:cNvGraphicFramePr/>
                  <a:graphic xmlns:a="http://schemas.openxmlformats.org/drawingml/2006/main">
                    <a:graphicData uri="http://schemas.openxmlformats.org/drawingml/2006/picture">
                      <pic:pic xmlns:pic="http://schemas.openxmlformats.org/drawingml/2006/picture">
                        <pic:nvPicPr>
                          <pic:cNvPr id="327" name="Picture 327"/>
                          <pic:cNvPicPr/>
                        </pic:nvPicPr>
                        <pic:blipFill>
                          <a:blip r:embed="rId6"/>
                          <a:stretch>
                            <a:fillRect/>
                          </a:stretch>
                        </pic:blipFill>
                        <pic:spPr>
                          <a:xfrm>
                            <a:off x="0" y="0"/>
                            <a:ext cx="2011680" cy="1531620"/>
                          </a:xfrm>
                          <a:prstGeom prst="rect">
                            <a:avLst/>
                          </a:prstGeom>
                        </pic:spPr>
                      </pic:pic>
                    </a:graphicData>
                  </a:graphic>
                </wp:inline>
              </w:drawing>
            </w:r>
          </w:p>
        </w:tc>
        <w:tc>
          <w:tcPr>
            <w:tcW w:w="1229" w:type="dxa"/>
            <w:tcBorders>
              <w:top w:val="single" w:sz="3" w:space="0" w:color="000000"/>
              <w:left w:val="single" w:sz="3" w:space="0" w:color="000000"/>
              <w:bottom w:val="single" w:sz="3" w:space="0" w:color="000000"/>
              <w:right w:val="single" w:sz="3" w:space="0" w:color="000000"/>
            </w:tcBorders>
            <w:vAlign w:val="center"/>
          </w:tcPr>
          <w:p w14:paraId="7D6B46A3"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vAlign w:val="center"/>
          </w:tcPr>
          <w:p w14:paraId="1781E28A" w14:textId="533171AE" w:rsidR="00541219" w:rsidRDefault="00000000" w:rsidP="00C164DB">
            <w:pPr>
              <w:spacing w:after="0"/>
              <w:ind w:left="5" w:firstLine="0"/>
              <w:jc w:val="both"/>
            </w:pPr>
            <w:r>
              <w:t>A Energisa MS será a 7ª distribui</w:t>
            </w:r>
            <w:r w:rsidR="00C164DB">
              <w:t>dora</w:t>
            </w:r>
            <w:r>
              <w:t xml:space="preserve"> que passará por prorrogação com o vencimento do contrato de concessão em 04/12/2027. Para os consumidores, visto que é um serviço monopolista, totalmente regulado pela Aneel, é melhor que ocorra a renovação da concessão, desde que a companhia atual apresente bons serviços, capacidade técnica e capacidade financeira para operar a concessão. Com a renovação evita-se o pagamento de indenizações bilionárias pelos ativos não inteiramente depreciados.</w:t>
            </w:r>
          </w:p>
        </w:tc>
      </w:tr>
      <w:tr w:rsidR="00541219" w14:paraId="37CECA41"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61C3DE3D" w14:textId="77777777" w:rsidR="00541219" w:rsidRDefault="00000000">
            <w:pPr>
              <w:spacing w:after="0"/>
              <w:ind w:left="0" w:firstLine="0"/>
            </w:pPr>
            <w:r>
              <w:rPr>
                <w:sz w:val="8"/>
              </w:rPr>
              <w:t>4. O Art.4º do referido Decreto estabeleceu que a ANEEL definirá a minuta do termo aditivo ao contrato de concessão contemplando as condições previstas no Decreto.</w:t>
            </w:r>
          </w:p>
        </w:tc>
        <w:tc>
          <w:tcPr>
            <w:tcW w:w="4920" w:type="dxa"/>
            <w:gridSpan w:val="2"/>
            <w:tcBorders>
              <w:top w:val="single" w:sz="3" w:space="0" w:color="000000"/>
              <w:left w:val="single" w:sz="3" w:space="0" w:color="000000"/>
              <w:bottom w:val="single" w:sz="3" w:space="0" w:color="000000"/>
              <w:right w:val="nil"/>
            </w:tcBorders>
          </w:tcPr>
          <w:p w14:paraId="3231B3E3" w14:textId="77777777" w:rsidR="00541219" w:rsidRDefault="00541219">
            <w:pPr>
              <w:spacing w:after="160"/>
              <w:ind w:left="0" w:firstLine="0"/>
            </w:pPr>
          </w:p>
        </w:tc>
      </w:tr>
      <w:tr w:rsidR="00541219" w14:paraId="3670312C" w14:textId="77777777">
        <w:trPr>
          <w:trHeight w:val="245"/>
        </w:trPr>
        <w:tc>
          <w:tcPr>
            <w:tcW w:w="5344" w:type="dxa"/>
            <w:tcBorders>
              <w:top w:val="single" w:sz="3" w:space="0" w:color="000000"/>
              <w:left w:val="single" w:sz="3" w:space="0" w:color="000000"/>
              <w:bottom w:val="double" w:sz="3" w:space="0" w:color="000000"/>
              <w:right w:val="single" w:sz="3" w:space="0" w:color="000000"/>
            </w:tcBorders>
          </w:tcPr>
          <w:p w14:paraId="133201B3" w14:textId="77777777" w:rsidR="00541219" w:rsidRDefault="00000000">
            <w:pPr>
              <w:spacing w:after="0"/>
              <w:ind w:left="0" w:firstLine="0"/>
            </w:pPr>
            <w:r>
              <w:rPr>
                <w:sz w:val="8"/>
              </w:rPr>
              <w:t>5. O §1o do art. 10 do Decreto no 12.068/2024 dispõe que a minuta do termo aditivo ao contrato de concessão deverá ser aprovada e divulgada pela ANEEL no prazo de 120 (cento e vinte) dias da publicação do Decreto, ou seja, 19 de outubro de 2024.</w:t>
            </w:r>
          </w:p>
        </w:tc>
        <w:tc>
          <w:tcPr>
            <w:tcW w:w="1229" w:type="dxa"/>
            <w:tcBorders>
              <w:top w:val="single" w:sz="3" w:space="0" w:color="000000"/>
              <w:left w:val="single" w:sz="3" w:space="0" w:color="000000"/>
              <w:bottom w:val="single" w:sz="3" w:space="0" w:color="000000"/>
              <w:right w:val="single" w:sz="3" w:space="0" w:color="000000"/>
            </w:tcBorders>
          </w:tcPr>
          <w:p w14:paraId="0077DA97"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11098CEE" w14:textId="77777777" w:rsidR="00541219" w:rsidRDefault="00000000">
            <w:pPr>
              <w:spacing w:after="0"/>
              <w:ind w:left="5" w:firstLine="0"/>
            </w:pPr>
            <w:r>
              <w:t>Esta meta já está atrasada.</w:t>
            </w:r>
          </w:p>
        </w:tc>
      </w:tr>
      <w:tr w:rsidR="00541219" w14:paraId="5926099B" w14:textId="77777777">
        <w:trPr>
          <w:trHeight w:val="338"/>
        </w:trPr>
        <w:tc>
          <w:tcPr>
            <w:tcW w:w="5344" w:type="dxa"/>
            <w:tcBorders>
              <w:top w:val="double" w:sz="3" w:space="0" w:color="000000"/>
              <w:left w:val="single" w:sz="3" w:space="0" w:color="000000"/>
              <w:bottom w:val="single" w:sz="3" w:space="0" w:color="000000"/>
              <w:right w:val="single" w:sz="3" w:space="0" w:color="000000"/>
            </w:tcBorders>
          </w:tcPr>
          <w:p w14:paraId="091B387F" w14:textId="77777777" w:rsidR="00541219" w:rsidRDefault="00000000">
            <w:pPr>
              <w:spacing w:after="27"/>
              <w:ind w:left="2" w:firstLine="0"/>
            </w:pPr>
            <w:r>
              <w:t>III – DA ANÁLISE</w:t>
            </w:r>
          </w:p>
          <w:p w14:paraId="74531149" w14:textId="77777777" w:rsidR="00541219" w:rsidRDefault="00000000">
            <w:pPr>
              <w:spacing w:after="0"/>
              <w:ind w:left="0" w:firstLine="0"/>
            </w:pPr>
            <w:r>
              <w:rPr>
                <w:sz w:val="8"/>
              </w:rPr>
              <w:t>6. Trata-se de abertura de consulta pública com vistas a colher subsídios e contribuições à minuta de Termo Aditivo ao Contrato de Concessão para prestação do serviço público de distribuição de energia elétrica, que irá formalizar as prorrogações das concessões, nos termos do Decreto no 12.068/2024.</w:t>
            </w:r>
          </w:p>
        </w:tc>
        <w:tc>
          <w:tcPr>
            <w:tcW w:w="4920" w:type="dxa"/>
            <w:gridSpan w:val="2"/>
            <w:tcBorders>
              <w:top w:val="single" w:sz="3" w:space="0" w:color="000000"/>
              <w:left w:val="single" w:sz="3" w:space="0" w:color="000000"/>
              <w:bottom w:val="single" w:sz="3" w:space="0" w:color="000000"/>
              <w:right w:val="nil"/>
            </w:tcBorders>
          </w:tcPr>
          <w:p w14:paraId="31CB23B8" w14:textId="77777777" w:rsidR="00541219" w:rsidRDefault="00541219">
            <w:pPr>
              <w:spacing w:after="160"/>
              <w:ind w:left="0" w:firstLine="0"/>
            </w:pPr>
          </w:p>
        </w:tc>
      </w:tr>
      <w:tr w:rsidR="00541219" w14:paraId="738E1528" w14:textId="77777777">
        <w:trPr>
          <w:trHeight w:val="662"/>
        </w:trPr>
        <w:tc>
          <w:tcPr>
            <w:tcW w:w="5344" w:type="dxa"/>
            <w:tcBorders>
              <w:top w:val="single" w:sz="3" w:space="0" w:color="000000"/>
              <w:left w:val="single" w:sz="3" w:space="0" w:color="000000"/>
              <w:bottom w:val="single" w:sz="3" w:space="0" w:color="000000"/>
              <w:right w:val="single" w:sz="3" w:space="0" w:color="000000"/>
            </w:tcBorders>
            <w:vAlign w:val="center"/>
          </w:tcPr>
          <w:p w14:paraId="234B6F41" w14:textId="77777777" w:rsidR="00541219" w:rsidRDefault="00000000">
            <w:pPr>
              <w:spacing w:after="0"/>
              <w:ind w:left="0" w:firstLine="0"/>
            </w:pPr>
            <w:r>
              <w:rPr>
                <w:sz w:val="8"/>
              </w:rPr>
              <w:t>7. O art. 2o do Decreto nº 12.068/2024 dispôs que a prorrogação das concessões de distribuição fica condicionada à demonstração da prestação do serviço adequado, da expressa aceitação por parte das concessionárias das condições estabelecidas no Decreto e das demais disposições estabelecidas no termo aditivo ao contrato.</w:t>
            </w:r>
          </w:p>
        </w:tc>
        <w:tc>
          <w:tcPr>
            <w:tcW w:w="1229" w:type="dxa"/>
            <w:tcBorders>
              <w:top w:val="single" w:sz="3" w:space="0" w:color="000000"/>
              <w:left w:val="single" w:sz="3" w:space="0" w:color="000000"/>
              <w:bottom w:val="single" w:sz="3" w:space="0" w:color="000000"/>
              <w:right w:val="single" w:sz="3" w:space="0" w:color="000000"/>
            </w:tcBorders>
            <w:vAlign w:val="center"/>
          </w:tcPr>
          <w:p w14:paraId="1FF7D254"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014C9F76" w14:textId="77777777" w:rsidR="00541219" w:rsidRDefault="00000000" w:rsidP="00C164DB">
            <w:pPr>
              <w:spacing w:after="0"/>
              <w:ind w:left="5" w:firstLine="0"/>
              <w:jc w:val="both"/>
            </w:pPr>
            <w:r>
              <w:t>Para os consumidores, visto que é um serviço monopolista, totalmente regulado pela Aneel, é melhor que ocorra a renovação da concessão, desde que a companhia atual apresente bons serviços, capacidade técnica e capacidade financeira para operar a concessão. Com a renovação evita-se o pagamento de indenizações bilionárias pelos ativos não inteiramente depreciados.</w:t>
            </w:r>
          </w:p>
        </w:tc>
      </w:tr>
      <w:tr w:rsidR="00541219" w14:paraId="45FFB69B"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2CCE8E94" w14:textId="77777777" w:rsidR="00541219" w:rsidRDefault="00000000">
            <w:pPr>
              <w:spacing w:after="0"/>
              <w:ind w:left="0" w:firstLine="0"/>
            </w:pPr>
            <w:r>
              <w:rPr>
                <w:sz w:val="8"/>
              </w:rPr>
              <w:t>8. O Capítulo II do Decreto nº 12.068/2024 estabelece as “Diretrizes para o Termo Aditivo ao Contrato de Concessão”, e é composto por três artigos:</w:t>
            </w:r>
          </w:p>
        </w:tc>
        <w:tc>
          <w:tcPr>
            <w:tcW w:w="4920" w:type="dxa"/>
            <w:gridSpan w:val="2"/>
            <w:vMerge w:val="restart"/>
            <w:tcBorders>
              <w:top w:val="single" w:sz="3" w:space="0" w:color="000000"/>
              <w:left w:val="single" w:sz="3" w:space="0" w:color="000000"/>
              <w:bottom w:val="single" w:sz="3" w:space="0" w:color="000000"/>
              <w:right w:val="nil"/>
            </w:tcBorders>
          </w:tcPr>
          <w:p w14:paraId="0B408A20" w14:textId="77777777" w:rsidR="00541219" w:rsidRDefault="00541219">
            <w:pPr>
              <w:spacing w:after="160"/>
              <w:ind w:left="0" w:firstLine="0"/>
            </w:pPr>
          </w:p>
        </w:tc>
      </w:tr>
      <w:tr w:rsidR="00541219" w14:paraId="1D039B4E" w14:textId="77777777">
        <w:trPr>
          <w:trHeight w:val="110"/>
        </w:trPr>
        <w:tc>
          <w:tcPr>
            <w:tcW w:w="5344" w:type="dxa"/>
            <w:tcBorders>
              <w:top w:val="single" w:sz="3" w:space="0" w:color="000000"/>
              <w:left w:val="single" w:sz="3" w:space="0" w:color="000000"/>
              <w:bottom w:val="single" w:sz="3" w:space="0" w:color="000000"/>
              <w:right w:val="single" w:sz="3" w:space="0" w:color="000000"/>
            </w:tcBorders>
          </w:tcPr>
          <w:p w14:paraId="7E0D2EFF" w14:textId="77777777" w:rsidR="00541219" w:rsidRDefault="00000000">
            <w:pPr>
              <w:spacing w:after="0"/>
              <w:ind w:left="497" w:firstLine="0"/>
            </w:pPr>
            <w:r>
              <w:rPr>
                <w:sz w:val="8"/>
              </w:rPr>
              <w:t xml:space="preserve">     − Art. 4o: trata das cláusulas mínimas que devem constar da minuta do termo aditivo;</w:t>
            </w:r>
          </w:p>
        </w:tc>
        <w:tc>
          <w:tcPr>
            <w:tcW w:w="0" w:type="auto"/>
            <w:gridSpan w:val="2"/>
            <w:vMerge/>
            <w:tcBorders>
              <w:top w:val="nil"/>
              <w:left w:val="single" w:sz="3" w:space="0" w:color="000000"/>
              <w:bottom w:val="nil"/>
              <w:right w:val="nil"/>
            </w:tcBorders>
          </w:tcPr>
          <w:p w14:paraId="5AD0F2E8" w14:textId="77777777" w:rsidR="00541219" w:rsidRDefault="00541219">
            <w:pPr>
              <w:spacing w:after="160"/>
              <w:ind w:left="0" w:firstLine="0"/>
            </w:pPr>
          </w:p>
        </w:tc>
      </w:tr>
      <w:tr w:rsidR="00541219" w14:paraId="1B74501E"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2E69BDD4" w14:textId="77777777" w:rsidR="00541219" w:rsidRDefault="00000000">
            <w:pPr>
              <w:spacing w:after="0"/>
              <w:ind w:left="497" w:right="1680" w:firstLine="0"/>
            </w:pPr>
            <w:r>
              <w:rPr>
                <w:sz w:val="8"/>
              </w:rPr>
              <w:t xml:space="preserve">     − Art. 5o: prevê que a minuta do termo aditivo deverá conter as hipóteses de abertura de processo de caducidade em razão da não prestação de serviço adequado; e</w:t>
            </w:r>
          </w:p>
        </w:tc>
        <w:tc>
          <w:tcPr>
            <w:tcW w:w="0" w:type="auto"/>
            <w:gridSpan w:val="2"/>
            <w:vMerge/>
            <w:tcBorders>
              <w:top w:val="nil"/>
              <w:left w:val="single" w:sz="3" w:space="0" w:color="000000"/>
              <w:bottom w:val="nil"/>
              <w:right w:val="nil"/>
            </w:tcBorders>
          </w:tcPr>
          <w:p w14:paraId="29A4343A" w14:textId="77777777" w:rsidR="00541219" w:rsidRDefault="00541219">
            <w:pPr>
              <w:spacing w:after="160"/>
              <w:ind w:left="0" w:firstLine="0"/>
            </w:pPr>
          </w:p>
        </w:tc>
      </w:tr>
      <w:tr w:rsidR="00541219" w14:paraId="609FAAD0" w14:textId="77777777">
        <w:trPr>
          <w:trHeight w:val="110"/>
        </w:trPr>
        <w:tc>
          <w:tcPr>
            <w:tcW w:w="5344" w:type="dxa"/>
            <w:tcBorders>
              <w:top w:val="single" w:sz="3" w:space="0" w:color="000000"/>
              <w:left w:val="single" w:sz="3" w:space="0" w:color="000000"/>
              <w:bottom w:val="single" w:sz="3" w:space="0" w:color="000000"/>
              <w:right w:val="single" w:sz="3" w:space="0" w:color="000000"/>
            </w:tcBorders>
          </w:tcPr>
          <w:p w14:paraId="58324778" w14:textId="77777777" w:rsidR="00541219" w:rsidRDefault="00000000">
            <w:pPr>
              <w:spacing w:after="0"/>
              <w:ind w:left="497" w:firstLine="0"/>
            </w:pPr>
            <w:r>
              <w:rPr>
                <w:sz w:val="8"/>
              </w:rPr>
              <w:t xml:space="preserve">     − Art. 6o: estabelece compromissos para as concessionárias na prorrogação das concessões.</w:t>
            </w:r>
          </w:p>
        </w:tc>
        <w:tc>
          <w:tcPr>
            <w:tcW w:w="0" w:type="auto"/>
            <w:gridSpan w:val="2"/>
            <w:vMerge/>
            <w:tcBorders>
              <w:top w:val="nil"/>
              <w:left w:val="single" w:sz="3" w:space="0" w:color="000000"/>
              <w:bottom w:val="nil"/>
              <w:right w:val="nil"/>
            </w:tcBorders>
          </w:tcPr>
          <w:p w14:paraId="1BECA5C1" w14:textId="77777777" w:rsidR="00541219" w:rsidRDefault="00541219">
            <w:pPr>
              <w:spacing w:after="160"/>
              <w:ind w:left="0" w:firstLine="0"/>
            </w:pPr>
          </w:p>
        </w:tc>
      </w:tr>
      <w:tr w:rsidR="00541219" w14:paraId="250BAD85"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6868D543" w14:textId="77777777" w:rsidR="00541219" w:rsidRDefault="00000000">
            <w:pPr>
              <w:spacing w:after="0"/>
              <w:ind w:left="0" w:firstLine="0"/>
            </w:pPr>
            <w:r>
              <w:rPr>
                <w:sz w:val="8"/>
              </w:rPr>
              <w:t>9. A seguir transcreve-se o texto desses três artigos do Decreto nº 12.068/2024, que serão o fundamento principal da proposta de nova minuta do termo aditivo ao contrato de concessão:</w:t>
            </w:r>
          </w:p>
        </w:tc>
        <w:tc>
          <w:tcPr>
            <w:tcW w:w="0" w:type="auto"/>
            <w:gridSpan w:val="2"/>
            <w:vMerge/>
            <w:tcBorders>
              <w:top w:val="nil"/>
              <w:left w:val="single" w:sz="3" w:space="0" w:color="000000"/>
              <w:bottom w:val="nil"/>
              <w:right w:val="nil"/>
            </w:tcBorders>
          </w:tcPr>
          <w:p w14:paraId="18CA542B" w14:textId="77777777" w:rsidR="00541219" w:rsidRDefault="00541219">
            <w:pPr>
              <w:spacing w:after="160"/>
              <w:ind w:left="0" w:firstLine="0"/>
            </w:pPr>
          </w:p>
        </w:tc>
      </w:tr>
      <w:tr w:rsidR="00541219" w14:paraId="79B48D0C"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4C0C8E20" w14:textId="77777777" w:rsidR="00541219" w:rsidRDefault="00000000">
            <w:pPr>
              <w:spacing w:after="0"/>
              <w:ind w:left="497" w:firstLine="0"/>
            </w:pPr>
            <w:r>
              <w:rPr>
                <w:sz w:val="8"/>
              </w:rPr>
              <w:t xml:space="preserve">     Art. 4o A Aneel definirá a minuta do termo aditivo ao contrato de concessão que contemplará as condições previstas neste Decreto, que deverá conter cláusulas que assegurem, no mínimo:</w:t>
            </w:r>
          </w:p>
        </w:tc>
        <w:tc>
          <w:tcPr>
            <w:tcW w:w="0" w:type="auto"/>
            <w:gridSpan w:val="2"/>
            <w:vMerge/>
            <w:tcBorders>
              <w:top w:val="nil"/>
              <w:left w:val="single" w:sz="3" w:space="0" w:color="000000"/>
              <w:bottom w:val="nil"/>
              <w:right w:val="nil"/>
            </w:tcBorders>
          </w:tcPr>
          <w:p w14:paraId="18B52E0E" w14:textId="77777777" w:rsidR="00541219" w:rsidRDefault="00541219">
            <w:pPr>
              <w:spacing w:after="160"/>
              <w:ind w:left="0" w:firstLine="0"/>
            </w:pPr>
          </w:p>
        </w:tc>
      </w:tr>
      <w:tr w:rsidR="00541219" w14:paraId="6725E48A" w14:textId="77777777">
        <w:trPr>
          <w:trHeight w:val="110"/>
        </w:trPr>
        <w:tc>
          <w:tcPr>
            <w:tcW w:w="5344" w:type="dxa"/>
            <w:tcBorders>
              <w:top w:val="single" w:sz="3" w:space="0" w:color="000000"/>
              <w:left w:val="single" w:sz="3" w:space="0" w:color="000000"/>
              <w:bottom w:val="single" w:sz="3" w:space="0" w:color="000000"/>
              <w:right w:val="single" w:sz="3" w:space="0" w:color="000000"/>
            </w:tcBorders>
          </w:tcPr>
          <w:p w14:paraId="1E940DE2" w14:textId="77777777" w:rsidR="00541219" w:rsidRDefault="00000000">
            <w:pPr>
              <w:spacing w:after="0"/>
              <w:ind w:left="497" w:firstLine="0"/>
            </w:pPr>
            <w:r>
              <w:rPr>
                <w:sz w:val="8"/>
              </w:rPr>
              <w:t xml:space="preserve">     I - </w:t>
            </w:r>
            <w:proofErr w:type="gramStart"/>
            <w:r>
              <w:rPr>
                <w:sz w:val="8"/>
              </w:rPr>
              <w:t>sustentabilidade</w:t>
            </w:r>
            <w:proofErr w:type="gramEnd"/>
            <w:r>
              <w:rPr>
                <w:sz w:val="8"/>
              </w:rPr>
              <w:t xml:space="preserve"> econômico-financeira das concessionárias, inclusive por meio de aporte de capital;</w:t>
            </w:r>
          </w:p>
        </w:tc>
        <w:tc>
          <w:tcPr>
            <w:tcW w:w="0" w:type="auto"/>
            <w:gridSpan w:val="2"/>
            <w:vMerge/>
            <w:tcBorders>
              <w:top w:val="nil"/>
              <w:left w:val="single" w:sz="3" w:space="0" w:color="000000"/>
              <w:bottom w:val="nil"/>
              <w:right w:val="nil"/>
            </w:tcBorders>
          </w:tcPr>
          <w:p w14:paraId="30E548C8" w14:textId="77777777" w:rsidR="00541219" w:rsidRDefault="00541219">
            <w:pPr>
              <w:spacing w:after="160"/>
              <w:ind w:left="0" w:firstLine="0"/>
            </w:pPr>
          </w:p>
        </w:tc>
      </w:tr>
      <w:tr w:rsidR="00541219" w14:paraId="29F38CAC"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33BD71B4" w14:textId="77777777" w:rsidR="00541219" w:rsidRDefault="00000000">
            <w:pPr>
              <w:spacing w:after="0"/>
              <w:ind w:left="497" w:firstLine="0"/>
            </w:pPr>
            <w:r>
              <w:rPr>
                <w:sz w:val="8"/>
              </w:rPr>
              <w:t xml:space="preserve">     II - atendimento do mercado pelas concessionárias, nos prazos estabelecidos pela Aneel, inclusive por meio dos programas </w:t>
            </w:r>
            <w:proofErr w:type="gramStart"/>
            <w:r>
              <w:rPr>
                <w:sz w:val="8"/>
              </w:rPr>
              <w:t>de  universalização</w:t>
            </w:r>
            <w:proofErr w:type="gramEnd"/>
            <w:r>
              <w:rPr>
                <w:sz w:val="8"/>
              </w:rPr>
              <w:t xml:space="preserve"> instituídos pelo Governo Federal, verificado com base na apuração de indicadores;</w:t>
            </w:r>
          </w:p>
        </w:tc>
        <w:tc>
          <w:tcPr>
            <w:tcW w:w="0" w:type="auto"/>
            <w:gridSpan w:val="2"/>
            <w:vMerge/>
            <w:tcBorders>
              <w:top w:val="nil"/>
              <w:left w:val="single" w:sz="3" w:space="0" w:color="000000"/>
              <w:bottom w:val="single" w:sz="3" w:space="0" w:color="000000"/>
              <w:right w:val="nil"/>
            </w:tcBorders>
          </w:tcPr>
          <w:p w14:paraId="05BFCBA1" w14:textId="77777777" w:rsidR="00541219" w:rsidRDefault="00541219">
            <w:pPr>
              <w:spacing w:after="160"/>
              <w:ind w:left="0" w:firstLine="0"/>
            </w:pPr>
          </w:p>
        </w:tc>
      </w:tr>
      <w:tr w:rsidR="00541219" w14:paraId="35ECE03A" w14:textId="77777777">
        <w:trPr>
          <w:trHeight w:val="226"/>
        </w:trPr>
        <w:tc>
          <w:tcPr>
            <w:tcW w:w="5344" w:type="dxa"/>
            <w:tcBorders>
              <w:top w:val="single" w:sz="3" w:space="0" w:color="000000"/>
              <w:left w:val="single" w:sz="3" w:space="0" w:color="000000"/>
              <w:bottom w:val="single" w:sz="3" w:space="0" w:color="000000"/>
              <w:right w:val="single" w:sz="3" w:space="0" w:color="000000"/>
            </w:tcBorders>
          </w:tcPr>
          <w:p w14:paraId="7F686A43" w14:textId="77777777" w:rsidR="00541219" w:rsidRDefault="00000000">
            <w:pPr>
              <w:spacing w:after="0"/>
              <w:ind w:left="497" w:firstLine="0"/>
            </w:pPr>
            <w:r>
              <w:rPr>
                <w:sz w:val="8"/>
              </w:rPr>
              <w:t xml:space="preserve">     III - satisfação dos usuários, por meio da apuração de indicadores de tempo de atendimento de serviços e pesquisas de opinião pública;</w:t>
            </w:r>
          </w:p>
        </w:tc>
        <w:tc>
          <w:tcPr>
            <w:tcW w:w="1229" w:type="dxa"/>
            <w:tcBorders>
              <w:top w:val="single" w:sz="3" w:space="0" w:color="000000"/>
              <w:left w:val="single" w:sz="3" w:space="0" w:color="000000"/>
              <w:bottom w:val="single" w:sz="3" w:space="0" w:color="000000"/>
              <w:right w:val="single" w:sz="3" w:space="0" w:color="000000"/>
            </w:tcBorders>
          </w:tcPr>
          <w:p w14:paraId="63C18CFD"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134AC178" w14:textId="77777777" w:rsidR="00541219" w:rsidRDefault="00000000">
            <w:pPr>
              <w:spacing w:after="0"/>
              <w:ind w:left="5" w:firstLine="0"/>
            </w:pPr>
            <w:r>
              <w:t>Sempre importante reforçar o uso da palavra "consumidor" em consonância à lei 8.078/1990 CDC.</w:t>
            </w:r>
          </w:p>
        </w:tc>
      </w:tr>
      <w:tr w:rsidR="00541219" w14:paraId="1F0475BB" w14:textId="77777777">
        <w:trPr>
          <w:trHeight w:val="331"/>
        </w:trPr>
        <w:tc>
          <w:tcPr>
            <w:tcW w:w="5344" w:type="dxa"/>
            <w:tcBorders>
              <w:top w:val="single" w:sz="3" w:space="0" w:color="000000"/>
              <w:left w:val="single" w:sz="3" w:space="0" w:color="000000"/>
              <w:bottom w:val="single" w:sz="3" w:space="0" w:color="000000"/>
              <w:right w:val="single" w:sz="3" w:space="0" w:color="000000"/>
            </w:tcBorders>
            <w:vAlign w:val="center"/>
          </w:tcPr>
          <w:p w14:paraId="5B62DD6C" w14:textId="77777777" w:rsidR="00541219" w:rsidRDefault="00000000">
            <w:pPr>
              <w:spacing w:after="0"/>
              <w:ind w:left="497" w:firstLine="0"/>
            </w:pPr>
            <w:r>
              <w:rPr>
                <w:sz w:val="8"/>
              </w:rPr>
              <w:t xml:space="preserve">     IV - </w:t>
            </w:r>
            <w:proofErr w:type="gramStart"/>
            <w:r>
              <w:rPr>
                <w:sz w:val="8"/>
              </w:rPr>
              <w:t>investimento</w:t>
            </w:r>
            <w:proofErr w:type="gramEnd"/>
            <w:r>
              <w:rPr>
                <w:sz w:val="8"/>
              </w:rPr>
              <w:t xml:space="preserve"> prudente;</w:t>
            </w:r>
          </w:p>
        </w:tc>
        <w:tc>
          <w:tcPr>
            <w:tcW w:w="1229" w:type="dxa"/>
            <w:tcBorders>
              <w:top w:val="single" w:sz="3" w:space="0" w:color="000000"/>
              <w:left w:val="single" w:sz="3" w:space="0" w:color="000000"/>
              <w:bottom w:val="single" w:sz="3" w:space="0" w:color="000000"/>
              <w:right w:val="single" w:sz="3" w:space="0" w:color="000000"/>
            </w:tcBorders>
            <w:vAlign w:val="center"/>
          </w:tcPr>
          <w:p w14:paraId="7AD55597"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65418E7E" w14:textId="77777777" w:rsidR="00541219" w:rsidRDefault="00000000">
            <w:pPr>
              <w:spacing w:after="0"/>
              <w:ind w:left="5" w:firstLine="0"/>
            </w:pPr>
            <w:r>
              <w:t>Os consumidores não estão dispostos a terem incluídos em suas faturas de energia os investimentos desnecessários ou que beneficiem apenas a um grupo de consumidores e geradores.</w:t>
            </w:r>
          </w:p>
        </w:tc>
      </w:tr>
      <w:tr w:rsidR="00541219" w14:paraId="64A69AE1"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09254760" w14:textId="77777777" w:rsidR="00541219" w:rsidRDefault="00000000">
            <w:pPr>
              <w:spacing w:after="0"/>
              <w:ind w:left="497" w:firstLine="0"/>
            </w:pPr>
            <w:r>
              <w:rPr>
                <w:sz w:val="8"/>
              </w:rPr>
              <w:t xml:space="preserve">     V - </w:t>
            </w:r>
            <w:proofErr w:type="gramStart"/>
            <w:r>
              <w:rPr>
                <w:sz w:val="8"/>
              </w:rPr>
              <w:t>qualidade</w:t>
            </w:r>
            <w:proofErr w:type="gramEnd"/>
            <w:r>
              <w:rPr>
                <w:sz w:val="8"/>
              </w:rPr>
              <w:t xml:space="preserve"> na prestação do serviço de distribuição de energia elétrica, por meio da apuração de indicadores de continuidade do fornecimento que contemplem o atingimento de metas de qualidade para um percentual mínimo de conjuntos elétricos, além do valor global, conforme regulação da Aneel;</w:t>
            </w:r>
          </w:p>
        </w:tc>
        <w:tc>
          <w:tcPr>
            <w:tcW w:w="1229" w:type="dxa"/>
            <w:tcBorders>
              <w:top w:val="single" w:sz="3" w:space="0" w:color="000000"/>
              <w:left w:val="single" w:sz="3" w:space="0" w:color="000000"/>
              <w:bottom w:val="single" w:sz="3" w:space="0" w:color="000000"/>
              <w:right w:val="single" w:sz="3" w:space="0" w:color="000000"/>
            </w:tcBorders>
          </w:tcPr>
          <w:p w14:paraId="762FE971"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271B7D67" w14:textId="77777777" w:rsidR="00541219" w:rsidRDefault="00000000">
            <w:pPr>
              <w:spacing w:after="0"/>
              <w:ind w:left="5" w:firstLine="0"/>
            </w:pPr>
            <w:r>
              <w:t>As metas de qualidade são definidas periodicamente por ocasião das Revisões Tarifárias Periódicas e este Conselho tem se posicionado nelas.</w:t>
            </w:r>
          </w:p>
        </w:tc>
      </w:tr>
      <w:tr w:rsidR="00541219" w14:paraId="635DE974" w14:textId="77777777">
        <w:trPr>
          <w:trHeight w:val="353"/>
        </w:trPr>
        <w:tc>
          <w:tcPr>
            <w:tcW w:w="5344" w:type="dxa"/>
            <w:tcBorders>
              <w:top w:val="single" w:sz="3" w:space="0" w:color="000000"/>
              <w:left w:val="single" w:sz="3" w:space="0" w:color="000000"/>
              <w:bottom w:val="single" w:sz="3" w:space="0" w:color="000000"/>
              <w:right w:val="single" w:sz="3" w:space="0" w:color="000000"/>
            </w:tcBorders>
          </w:tcPr>
          <w:p w14:paraId="669087FF" w14:textId="77777777" w:rsidR="00541219" w:rsidRDefault="00000000">
            <w:pPr>
              <w:spacing w:after="0"/>
              <w:ind w:left="497" w:firstLine="0"/>
            </w:pPr>
            <w:r>
              <w:rPr>
                <w:sz w:val="8"/>
              </w:rPr>
              <w:t xml:space="preserve">     VI - obrigação de dar publicidade à qualidade na prestação do serviço de distribuição de energia elétrica, por meio da apuração </w:t>
            </w:r>
            <w:proofErr w:type="gramStart"/>
            <w:r>
              <w:rPr>
                <w:sz w:val="8"/>
              </w:rPr>
              <w:t>de  indicadores</w:t>
            </w:r>
            <w:proofErr w:type="gramEnd"/>
            <w:r>
              <w:rPr>
                <w:sz w:val="8"/>
              </w:rPr>
              <w:t xml:space="preserve"> de duração e frequência de interrupções efetivamente percebidas pelos usuários, sem aplicação de expurgos;</w:t>
            </w:r>
          </w:p>
        </w:tc>
        <w:tc>
          <w:tcPr>
            <w:tcW w:w="1229" w:type="dxa"/>
            <w:tcBorders>
              <w:top w:val="single" w:sz="3" w:space="0" w:color="000000"/>
              <w:left w:val="single" w:sz="3" w:space="0" w:color="000000"/>
              <w:bottom w:val="single" w:sz="3" w:space="0" w:color="000000"/>
              <w:right w:val="single" w:sz="3" w:space="0" w:color="000000"/>
            </w:tcBorders>
            <w:vAlign w:val="center"/>
          </w:tcPr>
          <w:p w14:paraId="51BE2ECE"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081687A1" w14:textId="77777777" w:rsidR="00541219" w:rsidRDefault="00000000" w:rsidP="00C164DB">
            <w:pPr>
              <w:spacing w:after="0"/>
              <w:ind w:left="5" w:firstLine="0"/>
              <w:jc w:val="both"/>
            </w:pPr>
            <w:r>
              <w:t>A transparência para os consumidores é item importante para o acompanhamento das faltas de energia e principalmente previsão de seu retorno.</w:t>
            </w:r>
          </w:p>
        </w:tc>
      </w:tr>
      <w:tr w:rsidR="00541219" w14:paraId="27027F03" w14:textId="77777777">
        <w:trPr>
          <w:trHeight w:val="442"/>
        </w:trPr>
        <w:tc>
          <w:tcPr>
            <w:tcW w:w="5344" w:type="dxa"/>
            <w:tcBorders>
              <w:top w:val="single" w:sz="3" w:space="0" w:color="000000"/>
              <w:left w:val="single" w:sz="3" w:space="0" w:color="000000"/>
              <w:bottom w:val="single" w:sz="3" w:space="0" w:color="000000"/>
              <w:right w:val="single" w:sz="3" w:space="0" w:color="000000"/>
            </w:tcBorders>
            <w:vAlign w:val="center"/>
          </w:tcPr>
          <w:p w14:paraId="24D1E94C" w14:textId="77777777" w:rsidR="00541219" w:rsidRDefault="00000000">
            <w:pPr>
              <w:spacing w:after="0"/>
              <w:ind w:left="497" w:firstLine="0"/>
            </w:pPr>
            <w:r>
              <w:rPr>
                <w:sz w:val="8"/>
              </w:rPr>
              <w:t xml:space="preserve">     VII - definição de metas de eficiência na recomposição do serviço, após eventos climáticos extremos;</w:t>
            </w:r>
          </w:p>
        </w:tc>
        <w:tc>
          <w:tcPr>
            <w:tcW w:w="1229" w:type="dxa"/>
            <w:tcBorders>
              <w:top w:val="single" w:sz="3" w:space="0" w:color="000000"/>
              <w:left w:val="single" w:sz="3" w:space="0" w:color="000000"/>
              <w:bottom w:val="single" w:sz="3" w:space="0" w:color="000000"/>
              <w:right w:val="single" w:sz="3" w:space="0" w:color="000000"/>
            </w:tcBorders>
            <w:vAlign w:val="center"/>
          </w:tcPr>
          <w:p w14:paraId="23EFE081"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44846AD0" w14:textId="77777777" w:rsidR="00541219" w:rsidRDefault="00000000">
            <w:pPr>
              <w:spacing w:after="0"/>
              <w:ind w:left="5" w:firstLine="0"/>
            </w:pPr>
            <w:r>
              <w:t xml:space="preserve">Eventos climáticos sempre ocorreram e afetaram as instalações aéreas de distribuição, contudo tem-se avolumado consideravelmente e os consumidores de algumas regiões não suportam períodos de falta excessiva do serviço. </w:t>
            </w:r>
          </w:p>
        </w:tc>
      </w:tr>
      <w:tr w:rsidR="00541219" w14:paraId="0F8441E8" w14:textId="77777777">
        <w:trPr>
          <w:trHeight w:val="110"/>
        </w:trPr>
        <w:tc>
          <w:tcPr>
            <w:tcW w:w="5344" w:type="dxa"/>
            <w:tcBorders>
              <w:top w:val="single" w:sz="3" w:space="0" w:color="000000"/>
              <w:left w:val="single" w:sz="3" w:space="0" w:color="000000"/>
              <w:bottom w:val="single" w:sz="3" w:space="0" w:color="000000"/>
              <w:right w:val="single" w:sz="3" w:space="0" w:color="000000"/>
            </w:tcBorders>
          </w:tcPr>
          <w:p w14:paraId="25CF5A94" w14:textId="77777777" w:rsidR="00541219" w:rsidRDefault="00000000">
            <w:pPr>
              <w:spacing w:after="0"/>
              <w:ind w:left="497" w:firstLine="0"/>
            </w:pPr>
            <w:r>
              <w:rPr>
                <w:sz w:val="8"/>
              </w:rPr>
              <w:t xml:space="preserve">     VIII - eficiência energética;</w:t>
            </w:r>
          </w:p>
        </w:tc>
        <w:tc>
          <w:tcPr>
            <w:tcW w:w="4920" w:type="dxa"/>
            <w:gridSpan w:val="2"/>
            <w:tcBorders>
              <w:top w:val="single" w:sz="3" w:space="0" w:color="000000"/>
              <w:left w:val="single" w:sz="3" w:space="0" w:color="000000"/>
              <w:bottom w:val="single" w:sz="3" w:space="0" w:color="000000"/>
              <w:right w:val="nil"/>
            </w:tcBorders>
          </w:tcPr>
          <w:p w14:paraId="1ED293FE" w14:textId="77777777" w:rsidR="00541219" w:rsidRDefault="00541219">
            <w:pPr>
              <w:spacing w:after="160"/>
              <w:ind w:left="0" w:firstLine="0"/>
            </w:pPr>
          </w:p>
        </w:tc>
      </w:tr>
      <w:tr w:rsidR="00541219" w14:paraId="30926A78" w14:textId="77777777">
        <w:trPr>
          <w:trHeight w:val="552"/>
        </w:trPr>
        <w:tc>
          <w:tcPr>
            <w:tcW w:w="5344" w:type="dxa"/>
            <w:tcBorders>
              <w:top w:val="single" w:sz="3" w:space="0" w:color="000000"/>
              <w:left w:val="single" w:sz="3" w:space="0" w:color="000000"/>
              <w:bottom w:val="single" w:sz="3" w:space="0" w:color="000000"/>
              <w:right w:val="single" w:sz="3" w:space="0" w:color="000000"/>
            </w:tcBorders>
            <w:vAlign w:val="center"/>
          </w:tcPr>
          <w:p w14:paraId="5FE11175" w14:textId="77777777" w:rsidR="00541219" w:rsidRDefault="00000000">
            <w:pPr>
              <w:spacing w:after="0"/>
              <w:ind w:left="497" w:firstLine="0"/>
            </w:pPr>
            <w:r>
              <w:rPr>
                <w:sz w:val="8"/>
              </w:rPr>
              <w:t xml:space="preserve">     IX - </w:t>
            </w:r>
            <w:proofErr w:type="gramStart"/>
            <w:r>
              <w:rPr>
                <w:sz w:val="8"/>
              </w:rPr>
              <w:t>modicidade</w:t>
            </w:r>
            <w:proofErr w:type="gramEnd"/>
            <w:r>
              <w:rPr>
                <w:sz w:val="8"/>
              </w:rPr>
              <w:t xml:space="preserve"> tarifária;</w:t>
            </w:r>
          </w:p>
        </w:tc>
        <w:tc>
          <w:tcPr>
            <w:tcW w:w="1229" w:type="dxa"/>
            <w:tcBorders>
              <w:top w:val="single" w:sz="3" w:space="0" w:color="000000"/>
              <w:left w:val="single" w:sz="3" w:space="0" w:color="000000"/>
              <w:bottom w:val="single" w:sz="3" w:space="0" w:color="000000"/>
              <w:right w:val="single" w:sz="3" w:space="0" w:color="000000"/>
            </w:tcBorders>
            <w:vAlign w:val="center"/>
          </w:tcPr>
          <w:p w14:paraId="5867ADD6"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1C84E002" w14:textId="1934FF28" w:rsidR="00541219" w:rsidRDefault="00000000" w:rsidP="00C164DB">
            <w:pPr>
              <w:spacing w:after="0"/>
              <w:ind w:left="5" w:firstLine="0"/>
              <w:jc w:val="both"/>
            </w:pPr>
            <w:r>
              <w:t>Modicidade tarifária não depende apenas da Distribuição</w:t>
            </w:r>
            <w:r w:rsidR="00C164DB">
              <w:t>. Outros componentes da tarifa têm-se</w:t>
            </w:r>
            <w:r>
              <w:t xml:space="preserve"> mostrado de evolução muitíssimo maior a exemplo dos Encargos Setoriais, dos custos de Transmissão e </w:t>
            </w:r>
            <w:r w:rsidR="00C164DB">
              <w:t>pôr</w:t>
            </w:r>
            <w:r>
              <w:t xml:space="preserve"> fim do de Geração. Os custos de Distribuição, parece B, são os de menor crescimento dos últimos anos. </w:t>
            </w:r>
          </w:p>
        </w:tc>
      </w:tr>
      <w:tr w:rsidR="00541219" w14:paraId="3922C672" w14:textId="77777777">
        <w:trPr>
          <w:trHeight w:val="110"/>
        </w:trPr>
        <w:tc>
          <w:tcPr>
            <w:tcW w:w="5344" w:type="dxa"/>
            <w:tcBorders>
              <w:top w:val="single" w:sz="3" w:space="0" w:color="000000"/>
              <w:left w:val="single" w:sz="3" w:space="0" w:color="000000"/>
              <w:bottom w:val="single" w:sz="3" w:space="0" w:color="000000"/>
              <w:right w:val="single" w:sz="3" w:space="0" w:color="000000"/>
            </w:tcBorders>
          </w:tcPr>
          <w:p w14:paraId="7C0B4AD7" w14:textId="77777777" w:rsidR="00541219" w:rsidRDefault="00000000">
            <w:pPr>
              <w:spacing w:after="0"/>
              <w:ind w:left="497" w:firstLine="0"/>
            </w:pPr>
            <w:r>
              <w:rPr>
                <w:sz w:val="8"/>
              </w:rPr>
              <w:t xml:space="preserve">     X - </w:t>
            </w:r>
            <w:proofErr w:type="gramStart"/>
            <w:r>
              <w:rPr>
                <w:sz w:val="8"/>
              </w:rPr>
              <w:t>incentivos</w:t>
            </w:r>
            <w:proofErr w:type="gramEnd"/>
            <w:r>
              <w:rPr>
                <w:sz w:val="8"/>
              </w:rPr>
              <w:t xml:space="preserve"> à gestão eficiente dos custos totais de operação e de capital;</w:t>
            </w:r>
          </w:p>
        </w:tc>
        <w:tc>
          <w:tcPr>
            <w:tcW w:w="1229" w:type="dxa"/>
            <w:tcBorders>
              <w:top w:val="single" w:sz="3" w:space="0" w:color="000000"/>
              <w:left w:val="single" w:sz="3" w:space="0" w:color="000000"/>
              <w:bottom w:val="single" w:sz="3" w:space="0" w:color="000000"/>
              <w:right w:val="single" w:sz="3" w:space="0" w:color="000000"/>
            </w:tcBorders>
          </w:tcPr>
          <w:p w14:paraId="584324B9" w14:textId="77777777" w:rsidR="00541219" w:rsidRDefault="00541219">
            <w:pPr>
              <w:spacing w:after="160"/>
              <w:ind w:left="0" w:firstLine="0"/>
            </w:pPr>
          </w:p>
        </w:tc>
        <w:tc>
          <w:tcPr>
            <w:tcW w:w="3691" w:type="dxa"/>
            <w:tcBorders>
              <w:top w:val="single" w:sz="3" w:space="0" w:color="000000"/>
              <w:left w:val="single" w:sz="3" w:space="0" w:color="000000"/>
              <w:bottom w:val="single" w:sz="3" w:space="0" w:color="000000"/>
              <w:right w:val="single" w:sz="3" w:space="0" w:color="000000"/>
            </w:tcBorders>
          </w:tcPr>
          <w:p w14:paraId="22E4A88C" w14:textId="77777777" w:rsidR="00541219" w:rsidRDefault="00541219">
            <w:pPr>
              <w:spacing w:after="160"/>
              <w:ind w:left="0" w:firstLine="0"/>
            </w:pPr>
          </w:p>
        </w:tc>
      </w:tr>
      <w:tr w:rsidR="00541219" w14:paraId="53DCA53E" w14:textId="77777777">
        <w:trPr>
          <w:trHeight w:val="442"/>
        </w:trPr>
        <w:tc>
          <w:tcPr>
            <w:tcW w:w="5344" w:type="dxa"/>
            <w:tcBorders>
              <w:top w:val="single" w:sz="3" w:space="0" w:color="000000"/>
              <w:left w:val="single" w:sz="3" w:space="0" w:color="000000"/>
              <w:bottom w:val="single" w:sz="3" w:space="0" w:color="000000"/>
              <w:right w:val="single" w:sz="3" w:space="0" w:color="000000"/>
            </w:tcBorders>
          </w:tcPr>
          <w:p w14:paraId="0623D71D" w14:textId="77777777" w:rsidR="00541219" w:rsidRDefault="00000000">
            <w:pPr>
              <w:spacing w:after="0"/>
              <w:ind w:left="497" w:right="92" w:firstLine="0"/>
              <w:jc w:val="both"/>
            </w:pPr>
            <w:r>
              <w:rPr>
                <w:sz w:val="8"/>
              </w:rPr>
              <w:t xml:space="preserve">    XI - autorização para a concessionária exercer outras atividades empresariais e oferecer novos serviços aos usuários, por sua conta e risco, que devem favorecer a modicidade tarifária, nos termos e nas condições previstas na legislação e na regulação da Aneel, observado que:</w:t>
            </w:r>
          </w:p>
        </w:tc>
        <w:tc>
          <w:tcPr>
            <w:tcW w:w="1229" w:type="dxa"/>
            <w:tcBorders>
              <w:top w:val="single" w:sz="3" w:space="0" w:color="000000"/>
              <w:left w:val="single" w:sz="3" w:space="0" w:color="000000"/>
              <w:bottom w:val="single" w:sz="3" w:space="0" w:color="000000"/>
              <w:right w:val="single" w:sz="3" w:space="0" w:color="000000"/>
            </w:tcBorders>
            <w:vAlign w:val="center"/>
          </w:tcPr>
          <w:p w14:paraId="280022E4"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284756E0" w14:textId="6287DEDA" w:rsidR="00541219" w:rsidRDefault="00000000" w:rsidP="00C164DB">
            <w:pPr>
              <w:spacing w:after="0"/>
              <w:ind w:left="5" w:right="325" w:firstLine="0"/>
              <w:jc w:val="both"/>
            </w:pPr>
            <w:r>
              <w:t xml:space="preserve">As outras atividades empresariais que possam fornecer um serviço diferenciado a </w:t>
            </w:r>
            <w:r w:rsidR="00C164DB">
              <w:t>c</w:t>
            </w:r>
            <w:r>
              <w:t>onsumidores que o requisitem ou em situações</w:t>
            </w:r>
            <w:r w:rsidR="00C164DB">
              <w:t>,</w:t>
            </w:r>
            <w:r>
              <w:t xml:space="preserve"> os me</w:t>
            </w:r>
            <w:r w:rsidR="00C164DB">
              <w:t>m</w:t>
            </w:r>
            <w:r>
              <w:t>os ativos</w:t>
            </w:r>
            <w:r w:rsidR="00C164DB">
              <w:t xml:space="preserve"> que</w:t>
            </w:r>
            <w:r>
              <w:t xml:space="preserve"> tenham uso compartilhado podem complementar o faturamento e</w:t>
            </w:r>
            <w:r w:rsidR="00C164DB">
              <w:t>,</w:t>
            </w:r>
            <w:r>
              <w:t xml:space="preserve"> parte deve ser destinada à modicidade tarifária.</w:t>
            </w:r>
          </w:p>
        </w:tc>
      </w:tr>
      <w:tr w:rsidR="00541219" w14:paraId="3B37E6EE"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52BC1B81" w14:textId="77777777" w:rsidR="00541219" w:rsidRDefault="00000000">
            <w:pPr>
              <w:spacing w:after="0"/>
              <w:ind w:left="994" w:firstLine="0"/>
            </w:pPr>
            <w:r>
              <w:rPr>
                <w:sz w:val="8"/>
              </w:rPr>
              <w:t xml:space="preserve">         a) o exercício das atividades e dos serviços estará sujeito à autorização da Aneel, que poderá determinar, por meio de regulação, os requisitos a serem cumpridos pelas concessionárias, incluída a opção de restringir a atuação dessas atividades pelas distribuidoras, observados os critérios concorrenciais da nova atividade e os padrões de qualidade do serviço de distribuição e do atendimento comercial, sem prejuízo da competência de outras autoridades; e</w:t>
            </w:r>
          </w:p>
        </w:tc>
        <w:tc>
          <w:tcPr>
            <w:tcW w:w="4920" w:type="dxa"/>
            <w:gridSpan w:val="2"/>
            <w:vMerge w:val="restart"/>
            <w:tcBorders>
              <w:top w:val="single" w:sz="3" w:space="0" w:color="000000"/>
              <w:left w:val="single" w:sz="3" w:space="0" w:color="000000"/>
              <w:bottom w:val="single" w:sz="3" w:space="0" w:color="000000"/>
              <w:right w:val="nil"/>
            </w:tcBorders>
            <w:vAlign w:val="bottom"/>
          </w:tcPr>
          <w:p w14:paraId="157817DB" w14:textId="77777777" w:rsidR="00541219" w:rsidRDefault="00000000">
            <w:pPr>
              <w:spacing w:after="0"/>
              <w:ind w:left="5" w:firstLine="0"/>
            </w:pPr>
            <w:r>
              <w:t xml:space="preserve"> </w:t>
            </w:r>
          </w:p>
        </w:tc>
      </w:tr>
      <w:tr w:rsidR="00541219" w14:paraId="6823766E"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6AA2FF0B" w14:textId="77777777" w:rsidR="00541219" w:rsidRDefault="00000000">
            <w:pPr>
              <w:spacing w:after="0"/>
              <w:ind w:left="994" w:firstLine="0"/>
            </w:pPr>
            <w:r>
              <w:rPr>
                <w:sz w:val="8"/>
              </w:rPr>
              <w:t xml:space="preserve">          b) a arrecadação de tributos na fatura de energia elétrica decorrente de obrigação constitucional ou legal não será considerada atividade empresarial ou fonte de receitas alternativas, complementares e acessórias;</w:t>
            </w:r>
          </w:p>
        </w:tc>
        <w:tc>
          <w:tcPr>
            <w:tcW w:w="0" w:type="auto"/>
            <w:gridSpan w:val="2"/>
            <w:vMerge/>
            <w:tcBorders>
              <w:top w:val="nil"/>
              <w:left w:val="single" w:sz="3" w:space="0" w:color="000000"/>
              <w:bottom w:val="nil"/>
              <w:right w:val="nil"/>
            </w:tcBorders>
          </w:tcPr>
          <w:p w14:paraId="0A1F26E3" w14:textId="77777777" w:rsidR="00541219" w:rsidRDefault="00541219">
            <w:pPr>
              <w:spacing w:after="160"/>
              <w:ind w:left="0" w:firstLine="0"/>
            </w:pPr>
          </w:p>
        </w:tc>
      </w:tr>
      <w:tr w:rsidR="00541219" w14:paraId="26714756" w14:textId="77777777">
        <w:trPr>
          <w:trHeight w:val="110"/>
        </w:trPr>
        <w:tc>
          <w:tcPr>
            <w:tcW w:w="5344" w:type="dxa"/>
            <w:tcBorders>
              <w:top w:val="single" w:sz="3" w:space="0" w:color="000000"/>
              <w:left w:val="single" w:sz="3" w:space="0" w:color="000000"/>
              <w:bottom w:val="single" w:sz="3" w:space="0" w:color="000000"/>
              <w:right w:val="single" w:sz="3" w:space="0" w:color="000000"/>
            </w:tcBorders>
          </w:tcPr>
          <w:p w14:paraId="33833AFF" w14:textId="77777777" w:rsidR="00541219" w:rsidRDefault="00000000">
            <w:pPr>
              <w:spacing w:after="0"/>
              <w:ind w:left="497" w:firstLine="0"/>
            </w:pPr>
            <w:r>
              <w:rPr>
                <w:sz w:val="8"/>
              </w:rPr>
              <w:t xml:space="preserve">     XII - a alocação de riscos entre o Poder Concedente e as concessionárias;</w:t>
            </w:r>
          </w:p>
        </w:tc>
        <w:tc>
          <w:tcPr>
            <w:tcW w:w="0" w:type="auto"/>
            <w:gridSpan w:val="2"/>
            <w:vMerge/>
            <w:tcBorders>
              <w:top w:val="nil"/>
              <w:left w:val="single" w:sz="3" w:space="0" w:color="000000"/>
              <w:bottom w:val="nil"/>
              <w:right w:val="nil"/>
            </w:tcBorders>
          </w:tcPr>
          <w:p w14:paraId="4C7B04BB" w14:textId="77777777" w:rsidR="00541219" w:rsidRDefault="00541219">
            <w:pPr>
              <w:spacing w:after="160"/>
              <w:ind w:left="0" w:firstLine="0"/>
            </w:pPr>
          </w:p>
        </w:tc>
      </w:tr>
      <w:tr w:rsidR="00541219" w14:paraId="508C8CCF" w14:textId="77777777">
        <w:trPr>
          <w:trHeight w:val="110"/>
        </w:trPr>
        <w:tc>
          <w:tcPr>
            <w:tcW w:w="5344" w:type="dxa"/>
            <w:tcBorders>
              <w:top w:val="single" w:sz="3" w:space="0" w:color="000000"/>
              <w:left w:val="single" w:sz="3" w:space="0" w:color="000000"/>
              <w:bottom w:val="single" w:sz="3" w:space="0" w:color="000000"/>
              <w:right w:val="single" w:sz="3" w:space="0" w:color="000000"/>
            </w:tcBorders>
          </w:tcPr>
          <w:p w14:paraId="62CA7A11" w14:textId="77777777" w:rsidR="00541219" w:rsidRDefault="00000000">
            <w:pPr>
              <w:spacing w:after="0"/>
              <w:ind w:left="828" w:firstLine="0"/>
            </w:pPr>
            <w:r>
              <w:rPr>
                <w:sz w:val="8"/>
              </w:rPr>
              <w:t>XIII - critérios de avaliação da qualidade de governança, conforme regulação da Aneel;</w:t>
            </w:r>
          </w:p>
        </w:tc>
        <w:tc>
          <w:tcPr>
            <w:tcW w:w="0" w:type="auto"/>
            <w:gridSpan w:val="2"/>
            <w:vMerge/>
            <w:tcBorders>
              <w:top w:val="nil"/>
              <w:left w:val="single" w:sz="3" w:space="0" w:color="000000"/>
              <w:bottom w:val="nil"/>
              <w:right w:val="nil"/>
            </w:tcBorders>
          </w:tcPr>
          <w:p w14:paraId="0CB9D77D" w14:textId="77777777" w:rsidR="00541219" w:rsidRDefault="00541219">
            <w:pPr>
              <w:spacing w:after="160"/>
              <w:ind w:left="0" w:firstLine="0"/>
            </w:pPr>
          </w:p>
        </w:tc>
      </w:tr>
      <w:tr w:rsidR="00541219" w14:paraId="7F5E7CF0" w14:textId="77777777">
        <w:trPr>
          <w:trHeight w:val="110"/>
        </w:trPr>
        <w:tc>
          <w:tcPr>
            <w:tcW w:w="5344" w:type="dxa"/>
            <w:tcBorders>
              <w:top w:val="single" w:sz="3" w:space="0" w:color="000000"/>
              <w:left w:val="single" w:sz="3" w:space="0" w:color="000000"/>
              <w:bottom w:val="single" w:sz="3" w:space="0" w:color="000000"/>
              <w:right w:val="single" w:sz="3" w:space="0" w:color="000000"/>
            </w:tcBorders>
          </w:tcPr>
          <w:p w14:paraId="3B02B618" w14:textId="77777777" w:rsidR="00541219" w:rsidRDefault="00000000">
            <w:pPr>
              <w:spacing w:after="0"/>
              <w:ind w:left="497" w:firstLine="0"/>
            </w:pPr>
            <w:r>
              <w:rPr>
                <w:sz w:val="8"/>
              </w:rPr>
              <w:t xml:space="preserve">     XIV - aprimoramento das condições econômicas, de modo que:</w:t>
            </w:r>
          </w:p>
        </w:tc>
        <w:tc>
          <w:tcPr>
            <w:tcW w:w="0" w:type="auto"/>
            <w:gridSpan w:val="2"/>
            <w:vMerge/>
            <w:tcBorders>
              <w:top w:val="nil"/>
              <w:left w:val="single" w:sz="3" w:space="0" w:color="000000"/>
              <w:bottom w:val="single" w:sz="3" w:space="0" w:color="000000"/>
              <w:right w:val="nil"/>
            </w:tcBorders>
          </w:tcPr>
          <w:p w14:paraId="721088D6" w14:textId="77777777" w:rsidR="00541219" w:rsidRDefault="00541219">
            <w:pPr>
              <w:spacing w:after="160"/>
              <w:ind w:left="0" w:firstLine="0"/>
            </w:pPr>
          </w:p>
        </w:tc>
      </w:tr>
      <w:tr w:rsidR="00541219" w14:paraId="57C42DF2" w14:textId="77777777">
        <w:trPr>
          <w:trHeight w:val="883"/>
        </w:trPr>
        <w:tc>
          <w:tcPr>
            <w:tcW w:w="5344" w:type="dxa"/>
            <w:tcBorders>
              <w:top w:val="single" w:sz="3" w:space="0" w:color="000000"/>
              <w:left w:val="single" w:sz="3" w:space="0" w:color="000000"/>
              <w:bottom w:val="single" w:sz="3" w:space="0" w:color="000000"/>
              <w:right w:val="single" w:sz="3" w:space="0" w:color="000000"/>
            </w:tcBorders>
            <w:vAlign w:val="center"/>
          </w:tcPr>
          <w:p w14:paraId="66EC057C" w14:textId="77777777" w:rsidR="00541219" w:rsidRDefault="00000000">
            <w:pPr>
              <w:spacing w:after="0"/>
              <w:ind w:left="994" w:firstLine="0"/>
            </w:pPr>
            <w:r>
              <w:rPr>
                <w:sz w:val="8"/>
              </w:rPr>
              <w:t xml:space="preserve">         a) se admita flexibilidade normativa para a definição do regime de regulação econômica que melhor se adapte à evolução do segmento de distribuição, facultado à Aneel promover o reconhecimento de custos de capital e de operação entre revisões tarifárias, de modo a favorecer a modernização dos serviços compatível com a prestação do serviço adequado de distribuição, preservado o princípio do equilíbrio econômico-financeiro da concessão;</w:t>
            </w:r>
          </w:p>
        </w:tc>
        <w:tc>
          <w:tcPr>
            <w:tcW w:w="1229" w:type="dxa"/>
            <w:tcBorders>
              <w:top w:val="single" w:sz="3" w:space="0" w:color="000000"/>
              <w:left w:val="single" w:sz="3" w:space="0" w:color="000000"/>
              <w:bottom w:val="single" w:sz="3" w:space="0" w:color="000000"/>
              <w:right w:val="single" w:sz="3" w:space="0" w:color="000000"/>
            </w:tcBorders>
            <w:vAlign w:val="center"/>
          </w:tcPr>
          <w:p w14:paraId="079B6175"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6EF67F32" w14:textId="77777777" w:rsidR="00541219" w:rsidRDefault="00000000" w:rsidP="00C164DB">
            <w:pPr>
              <w:spacing w:after="0" w:line="256" w:lineRule="auto"/>
              <w:ind w:left="5" w:firstLine="0"/>
              <w:jc w:val="both"/>
            </w:pPr>
            <w:r>
              <w:t xml:space="preserve">O reconhecimento de Custos de Capital e Operacionais entre revisões deve sempre privilegiar a modicidade tarifária e a eficiência das atividades regulatórias. </w:t>
            </w:r>
          </w:p>
          <w:p w14:paraId="017A9C20" w14:textId="0D7AE0D2" w:rsidR="00541219" w:rsidRDefault="00000000" w:rsidP="00C164DB">
            <w:pPr>
              <w:spacing w:after="0"/>
              <w:ind w:left="5" w:firstLine="0"/>
              <w:jc w:val="both"/>
            </w:pPr>
            <w:r>
              <w:t>Historicamente, a primeira distribuidora privatizada objeto do contrato 01/1995 (Atual E</w:t>
            </w:r>
            <w:r w:rsidR="00C164DB">
              <w:t>D</w:t>
            </w:r>
            <w:r>
              <w:t>P-ES), tem revisões mais curtas de 3 em 3 anos, e a segunda distribuidora privatizada a Light (Contrato 01/1996) em seu contrato inicial as revisões foram estendidas para 7 em 7 anos, as seguintes têm revisões variando entre 4 e 5 anos, portanto o tema deve ser claramente justificado e aplicado em benefício do menor custo para a sociedade.</w:t>
            </w:r>
          </w:p>
        </w:tc>
      </w:tr>
      <w:tr w:rsidR="00541219" w14:paraId="79083637" w14:textId="77777777">
        <w:trPr>
          <w:trHeight w:val="662"/>
        </w:trPr>
        <w:tc>
          <w:tcPr>
            <w:tcW w:w="5344" w:type="dxa"/>
            <w:tcBorders>
              <w:top w:val="single" w:sz="3" w:space="0" w:color="000000"/>
              <w:left w:val="single" w:sz="3" w:space="0" w:color="000000"/>
              <w:bottom w:val="single" w:sz="3" w:space="0" w:color="000000"/>
              <w:right w:val="single" w:sz="3" w:space="0" w:color="000000"/>
            </w:tcBorders>
            <w:vAlign w:val="center"/>
          </w:tcPr>
          <w:p w14:paraId="1C239135" w14:textId="77777777" w:rsidR="00541219" w:rsidRDefault="00000000">
            <w:pPr>
              <w:spacing w:after="0"/>
              <w:ind w:left="994" w:right="78" w:firstLine="0"/>
              <w:jc w:val="both"/>
            </w:pPr>
            <w:r>
              <w:rPr>
                <w:sz w:val="8"/>
              </w:rPr>
              <w:lastRenderedPageBreak/>
              <w:t xml:space="preserve">         b) se permita flexibilidade contratual para que serviços que possam ser ofertados de modo concorrencial sejam facultados a outros agentes, desde que observada a economicidade na prestação do serviço, assegurada a preservação do equilíbrio econômico-financeiro da concessão;</w:t>
            </w:r>
          </w:p>
        </w:tc>
        <w:tc>
          <w:tcPr>
            <w:tcW w:w="1229" w:type="dxa"/>
            <w:tcBorders>
              <w:top w:val="single" w:sz="3" w:space="0" w:color="000000"/>
              <w:left w:val="single" w:sz="3" w:space="0" w:color="000000"/>
              <w:bottom w:val="single" w:sz="3" w:space="0" w:color="000000"/>
              <w:right w:val="single" w:sz="3" w:space="0" w:color="000000"/>
            </w:tcBorders>
            <w:vAlign w:val="center"/>
          </w:tcPr>
          <w:p w14:paraId="1B86599A"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0C281708" w14:textId="77777777" w:rsidR="00541219" w:rsidRDefault="00000000" w:rsidP="00C164DB">
            <w:pPr>
              <w:spacing w:after="0"/>
              <w:ind w:left="5" w:firstLine="0"/>
              <w:jc w:val="both"/>
            </w:pPr>
            <w:r>
              <w:t>Qualquer modelo concorrencial deve ser implementado, contudo os custos da abertura de mercado não podem recair totalmente no consumidor cativo como ocorre atualmente, antes de flexibilizar é necessário que sejam aprovados instrumentos regulatórios para que todos tenham iguais responsabilidades sobre os custos, seja o mercado cativo, seja o mercado livre.</w:t>
            </w:r>
          </w:p>
        </w:tc>
      </w:tr>
      <w:tr w:rsidR="00541219" w14:paraId="62492D9D" w14:textId="77777777">
        <w:trPr>
          <w:trHeight w:val="662"/>
        </w:trPr>
        <w:tc>
          <w:tcPr>
            <w:tcW w:w="5344" w:type="dxa"/>
            <w:tcBorders>
              <w:top w:val="single" w:sz="3" w:space="0" w:color="000000"/>
              <w:left w:val="single" w:sz="3" w:space="0" w:color="000000"/>
              <w:bottom w:val="single" w:sz="3" w:space="0" w:color="000000"/>
              <w:right w:val="single" w:sz="3" w:space="0" w:color="000000"/>
            </w:tcBorders>
            <w:vAlign w:val="center"/>
          </w:tcPr>
          <w:p w14:paraId="4B14D18B" w14:textId="77777777" w:rsidR="00541219" w:rsidRDefault="00000000">
            <w:pPr>
              <w:spacing w:after="0"/>
              <w:ind w:left="994" w:right="11" w:firstLine="0"/>
            </w:pPr>
            <w:r>
              <w:rPr>
                <w:sz w:val="8"/>
              </w:rPr>
              <w:t xml:space="preserve">         c) se permita a separação dos serviços a serem prestados inicialmente pela concessionária, que sejam futuramente passíveis de serem prestados em ambiente competitivo por outros agentes setoriais, com vistas a beneficiar o usuário com a ampliação da concorrência no setor elétrico, que deve ser adequadamente refletida na contabilidade para fins regulatórios;</w:t>
            </w:r>
          </w:p>
        </w:tc>
        <w:tc>
          <w:tcPr>
            <w:tcW w:w="1229" w:type="dxa"/>
            <w:tcBorders>
              <w:top w:val="single" w:sz="3" w:space="0" w:color="000000"/>
              <w:left w:val="single" w:sz="3" w:space="0" w:color="000000"/>
              <w:bottom w:val="single" w:sz="3" w:space="0" w:color="000000"/>
              <w:right w:val="single" w:sz="3" w:space="0" w:color="000000"/>
            </w:tcBorders>
            <w:vAlign w:val="center"/>
          </w:tcPr>
          <w:p w14:paraId="78B79B2F"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36C9442C" w14:textId="77777777" w:rsidR="00541219" w:rsidRDefault="00000000" w:rsidP="00C164DB">
            <w:pPr>
              <w:spacing w:after="0"/>
              <w:ind w:left="5" w:firstLine="0"/>
              <w:jc w:val="both"/>
            </w:pPr>
            <w:r>
              <w:t>Qualquer modelo concorrencial deve ser implementado, contudo os custos da abertura de mercado não podem recair totalmente no consumidor cativo como ocorre atualmente, antes de flexibilizar é necessário que sejam aprovados instrumentos regulatórios para que todos tenham iguais responsabilidades sobre os custos, seja o mercado cativo, seja o mercado livre.</w:t>
            </w:r>
          </w:p>
        </w:tc>
      </w:tr>
      <w:tr w:rsidR="00541219" w14:paraId="697B9355" w14:textId="77777777">
        <w:trPr>
          <w:trHeight w:val="331"/>
        </w:trPr>
        <w:tc>
          <w:tcPr>
            <w:tcW w:w="5344" w:type="dxa"/>
            <w:tcBorders>
              <w:top w:val="single" w:sz="3" w:space="0" w:color="000000"/>
              <w:left w:val="single" w:sz="3" w:space="0" w:color="000000"/>
              <w:bottom w:val="single" w:sz="3" w:space="0" w:color="000000"/>
              <w:right w:val="single" w:sz="3" w:space="0" w:color="000000"/>
            </w:tcBorders>
          </w:tcPr>
          <w:p w14:paraId="2C67D3E0" w14:textId="77777777" w:rsidR="00541219" w:rsidRDefault="00000000">
            <w:pPr>
              <w:spacing w:after="0"/>
              <w:ind w:left="994" w:right="35" w:firstLine="0"/>
            </w:pPr>
            <w:r>
              <w:rPr>
                <w:sz w:val="8"/>
              </w:rPr>
              <w:t xml:space="preserve">         d) as tarifas homologadas pela Aneel possam ser diferenciadas para áreas de elevada complexidade ao combate às perdas não técnicas e de elevada inadimplência;</w:t>
            </w:r>
          </w:p>
        </w:tc>
        <w:tc>
          <w:tcPr>
            <w:tcW w:w="1229" w:type="dxa"/>
            <w:tcBorders>
              <w:top w:val="single" w:sz="3" w:space="0" w:color="000000"/>
              <w:left w:val="single" w:sz="3" w:space="0" w:color="000000"/>
              <w:bottom w:val="single" w:sz="3" w:space="0" w:color="000000"/>
              <w:right w:val="single" w:sz="3" w:space="0" w:color="000000"/>
            </w:tcBorders>
            <w:vAlign w:val="center"/>
          </w:tcPr>
          <w:p w14:paraId="26380B2C"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4F1165CF" w14:textId="77777777" w:rsidR="00541219" w:rsidRDefault="00000000" w:rsidP="00C164DB">
            <w:pPr>
              <w:spacing w:after="0"/>
              <w:ind w:left="5" w:right="214" w:firstLine="0"/>
              <w:jc w:val="both"/>
            </w:pPr>
            <w:r>
              <w:t>A flexibilização de Perdas Não Técnicas e Inadimplência também não podem recair exclusivamente sobre o mercado cativo de baixa tesão, deve ser dividido com toda a sociedade através de impostos.</w:t>
            </w:r>
          </w:p>
        </w:tc>
      </w:tr>
    </w:tbl>
    <w:p w14:paraId="44D01B9D" w14:textId="77777777" w:rsidR="00541219" w:rsidRDefault="00541219">
      <w:pPr>
        <w:spacing w:after="0"/>
        <w:ind w:left="-1440" w:right="8609" w:firstLine="0"/>
      </w:pPr>
    </w:p>
    <w:tbl>
      <w:tblPr>
        <w:tblStyle w:val="TableGrid"/>
        <w:tblW w:w="10264" w:type="dxa"/>
        <w:tblInd w:w="-688" w:type="dxa"/>
        <w:tblCellMar>
          <w:top w:w="0" w:type="dxa"/>
          <w:left w:w="19" w:type="dxa"/>
          <w:bottom w:w="0" w:type="dxa"/>
          <w:right w:w="20" w:type="dxa"/>
        </w:tblCellMar>
        <w:tblLook w:val="04A0" w:firstRow="1" w:lastRow="0" w:firstColumn="1" w:lastColumn="0" w:noHBand="0" w:noVBand="1"/>
      </w:tblPr>
      <w:tblGrid>
        <w:gridCol w:w="5344"/>
        <w:gridCol w:w="1229"/>
        <w:gridCol w:w="3691"/>
      </w:tblGrid>
      <w:tr w:rsidR="00541219" w14:paraId="2F7AA4B8" w14:textId="77777777">
        <w:trPr>
          <w:trHeight w:val="150"/>
        </w:trPr>
        <w:tc>
          <w:tcPr>
            <w:tcW w:w="10264" w:type="dxa"/>
            <w:gridSpan w:val="3"/>
            <w:tcBorders>
              <w:top w:val="single" w:sz="6" w:space="0" w:color="000000"/>
              <w:left w:val="single" w:sz="6" w:space="0" w:color="000000"/>
              <w:bottom w:val="single" w:sz="3" w:space="0" w:color="000000"/>
              <w:right w:val="single" w:sz="6" w:space="0" w:color="000000"/>
            </w:tcBorders>
          </w:tcPr>
          <w:p w14:paraId="7EC039E9" w14:textId="77777777" w:rsidR="00541219" w:rsidRDefault="00000000">
            <w:pPr>
              <w:spacing w:after="0"/>
              <w:ind w:left="16" w:firstLine="0"/>
              <w:jc w:val="center"/>
            </w:pPr>
            <w:r>
              <w:rPr>
                <w:color w:val="0000FF"/>
                <w:sz w:val="12"/>
              </w:rPr>
              <w:t>CONTRIBUIÇÃO REFERENTE À CONSULTA PÚBLICA Nº 27/2024</w:t>
            </w:r>
          </w:p>
        </w:tc>
      </w:tr>
      <w:tr w:rsidR="00541219" w14:paraId="24E72626" w14:textId="77777777">
        <w:trPr>
          <w:trHeight w:val="149"/>
        </w:trPr>
        <w:tc>
          <w:tcPr>
            <w:tcW w:w="10264" w:type="dxa"/>
            <w:gridSpan w:val="3"/>
            <w:tcBorders>
              <w:top w:val="single" w:sz="3" w:space="0" w:color="000000"/>
              <w:left w:val="single" w:sz="6" w:space="0" w:color="000000"/>
              <w:bottom w:val="single" w:sz="3" w:space="0" w:color="000000"/>
              <w:right w:val="single" w:sz="6" w:space="0" w:color="000000"/>
            </w:tcBorders>
          </w:tcPr>
          <w:p w14:paraId="0F0DF11A" w14:textId="77777777" w:rsidR="00541219" w:rsidRDefault="00000000">
            <w:pPr>
              <w:spacing w:after="0"/>
              <w:ind w:left="4" w:firstLine="0"/>
              <w:jc w:val="center"/>
            </w:pPr>
            <w:r>
              <w:rPr>
                <w:color w:val="0000FF"/>
                <w:sz w:val="12"/>
              </w:rPr>
              <w:t>NOME DA INSTITUIÇÃO: CONCEN Conselho de Consumidores da Energisa Mato Grosso do Sul</w:t>
            </w:r>
          </w:p>
        </w:tc>
      </w:tr>
      <w:tr w:rsidR="00541219" w14:paraId="2837CCD8" w14:textId="77777777">
        <w:trPr>
          <w:trHeight w:val="149"/>
        </w:trPr>
        <w:tc>
          <w:tcPr>
            <w:tcW w:w="10264" w:type="dxa"/>
            <w:gridSpan w:val="3"/>
            <w:tcBorders>
              <w:top w:val="single" w:sz="3" w:space="0" w:color="000000"/>
              <w:left w:val="single" w:sz="6" w:space="0" w:color="000000"/>
              <w:bottom w:val="single" w:sz="3" w:space="0" w:color="000000"/>
              <w:right w:val="single" w:sz="6" w:space="0" w:color="000000"/>
            </w:tcBorders>
          </w:tcPr>
          <w:p w14:paraId="52AF4004" w14:textId="77777777" w:rsidR="00541219" w:rsidRDefault="00000000">
            <w:pPr>
              <w:tabs>
                <w:tab w:val="center" w:pos="626"/>
                <w:tab w:val="center" w:pos="5122"/>
              </w:tabs>
              <w:spacing w:after="0"/>
              <w:ind w:left="0" w:firstLine="0"/>
            </w:pPr>
            <w:r>
              <w:rPr>
                <w:rFonts w:ascii="Calibri" w:eastAsia="Calibri" w:hAnsi="Calibri" w:cs="Calibri"/>
                <w:sz w:val="22"/>
              </w:rPr>
              <w:tab/>
            </w:r>
            <w:r>
              <w:rPr>
                <w:noProof/>
              </w:rPr>
              <w:drawing>
                <wp:inline distT="0" distB="0" distL="0" distR="0" wp14:anchorId="0F245EEC" wp14:editId="015A3FAE">
                  <wp:extent cx="585216" cy="362712"/>
                  <wp:effectExtent l="0" t="0" r="0" b="0"/>
                  <wp:docPr id="385" name="Picture 385"/>
                  <wp:cNvGraphicFramePr/>
                  <a:graphic xmlns:a="http://schemas.openxmlformats.org/drawingml/2006/main">
                    <a:graphicData uri="http://schemas.openxmlformats.org/drawingml/2006/picture">
                      <pic:pic xmlns:pic="http://schemas.openxmlformats.org/drawingml/2006/picture">
                        <pic:nvPicPr>
                          <pic:cNvPr id="385" name="Picture 385"/>
                          <pic:cNvPicPr/>
                        </pic:nvPicPr>
                        <pic:blipFill>
                          <a:blip r:embed="rId5"/>
                          <a:stretch>
                            <a:fillRect/>
                          </a:stretch>
                        </pic:blipFill>
                        <pic:spPr>
                          <a:xfrm>
                            <a:off x="0" y="0"/>
                            <a:ext cx="585216" cy="362712"/>
                          </a:xfrm>
                          <a:prstGeom prst="rect">
                            <a:avLst/>
                          </a:prstGeom>
                        </pic:spPr>
                      </pic:pic>
                    </a:graphicData>
                  </a:graphic>
                </wp:inline>
              </w:drawing>
            </w:r>
            <w:r>
              <w:rPr>
                <w:color w:val="0000FF"/>
                <w:sz w:val="12"/>
              </w:rPr>
              <w:tab/>
              <w:t>AGÊNCIA NACIONAL DE ENERGIA ELÉTRICA – ANEEL</w:t>
            </w:r>
          </w:p>
        </w:tc>
      </w:tr>
      <w:tr w:rsidR="00541219" w14:paraId="28AEBE7A" w14:textId="77777777">
        <w:trPr>
          <w:trHeight w:val="178"/>
        </w:trPr>
        <w:tc>
          <w:tcPr>
            <w:tcW w:w="10264" w:type="dxa"/>
            <w:gridSpan w:val="3"/>
            <w:tcBorders>
              <w:top w:val="single" w:sz="3" w:space="0" w:color="000000"/>
              <w:left w:val="single" w:sz="6" w:space="0" w:color="000000"/>
              <w:bottom w:val="single" w:sz="3" w:space="0" w:color="000000"/>
              <w:right w:val="single" w:sz="6" w:space="0" w:color="000000"/>
            </w:tcBorders>
          </w:tcPr>
          <w:p w14:paraId="7FBA49D0" w14:textId="77777777" w:rsidR="00541219" w:rsidRDefault="00000000">
            <w:pPr>
              <w:spacing w:after="0"/>
              <w:ind w:left="14" w:firstLine="0"/>
              <w:jc w:val="center"/>
            </w:pPr>
            <w:r>
              <w:rPr>
                <w:color w:val="0000FF"/>
              </w:rPr>
              <w:t>NOTA TÉCNICA nº 1.056/2024-SCE-SFF-SFT-SMA-STE-STD-STR/ANEEL de 09 de outubro de 2024.</w:t>
            </w:r>
          </w:p>
        </w:tc>
      </w:tr>
      <w:tr w:rsidR="00541219" w14:paraId="4A157C7F" w14:textId="77777777">
        <w:trPr>
          <w:trHeight w:val="194"/>
        </w:trPr>
        <w:tc>
          <w:tcPr>
            <w:tcW w:w="10264" w:type="dxa"/>
            <w:gridSpan w:val="3"/>
            <w:tcBorders>
              <w:top w:val="single" w:sz="3" w:space="0" w:color="000000"/>
              <w:left w:val="single" w:sz="6" w:space="0" w:color="000000"/>
              <w:bottom w:val="single" w:sz="3" w:space="0" w:color="000000"/>
              <w:right w:val="single" w:sz="6" w:space="0" w:color="000000"/>
            </w:tcBorders>
          </w:tcPr>
          <w:p w14:paraId="52CE295B" w14:textId="77777777" w:rsidR="00541219" w:rsidRDefault="00000000">
            <w:pPr>
              <w:spacing w:after="0"/>
              <w:ind w:left="2" w:firstLine="0"/>
              <w:jc w:val="center"/>
            </w:pPr>
            <w:r>
              <w:rPr>
                <w:color w:val="0000FF"/>
              </w:rPr>
              <w:t xml:space="preserve">                                                               EMENTA: Obter subsídios para o aprimoramento da minuta de termo aditivo ao contrato de concessão de distribuição de energia elétrica com vistas à prorrogação das concessões.</w:t>
            </w:r>
          </w:p>
        </w:tc>
      </w:tr>
      <w:tr w:rsidR="00541219" w14:paraId="3E240FA5" w14:textId="77777777">
        <w:trPr>
          <w:trHeight w:val="132"/>
        </w:trPr>
        <w:tc>
          <w:tcPr>
            <w:tcW w:w="10264" w:type="dxa"/>
            <w:gridSpan w:val="3"/>
            <w:tcBorders>
              <w:top w:val="single" w:sz="3" w:space="0" w:color="000000"/>
              <w:left w:val="single" w:sz="6" w:space="0" w:color="000000"/>
              <w:bottom w:val="single" w:sz="3" w:space="0" w:color="000000"/>
              <w:right w:val="single" w:sz="6" w:space="0" w:color="000000"/>
            </w:tcBorders>
          </w:tcPr>
          <w:p w14:paraId="3555F851" w14:textId="77777777" w:rsidR="00541219" w:rsidRDefault="00000000">
            <w:pPr>
              <w:spacing w:after="0"/>
              <w:ind w:left="2" w:firstLine="0"/>
              <w:jc w:val="center"/>
            </w:pPr>
            <w:r>
              <w:rPr>
                <w:color w:val="0000FF"/>
                <w:sz w:val="11"/>
              </w:rPr>
              <w:t>CONTRIBUIÇÕES RECEBIDAS</w:t>
            </w:r>
          </w:p>
        </w:tc>
      </w:tr>
      <w:tr w:rsidR="00541219" w14:paraId="26F76D77" w14:textId="77777777">
        <w:trPr>
          <w:trHeight w:val="275"/>
        </w:trPr>
        <w:tc>
          <w:tcPr>
            <w:tcW w:w="10264" w:type="dxa"/>
            <w:gridSpan w:val="3"/>
            <w:tcBorders>
              <w:top w:val="single" w:sz="3" w:space="0" w:color="000000"/>
              <w:left w:val="single" w:sz="6" w:space="0" w:color="000000"/>
              <w:bottom w:val="single" w:sz="6" w:space="0" w:color="000000"/>
              <w:right w:val="single" w:sz="6" w:space="0" w:color="000000"/>
            </w:tcBorders>
          </w:tcPr>
          <w:p w14:paraId="08790D14" w14:textId="77777777" w:rsidR="00541219" w:rsidRDefault="00000000">
            <w:pPr>
              <w:spacing w:after="0"/>
              <w:ind w:left="0" w:firstLine="0"/>
            </w:pPr>
            <w:r>
              <w:t>IMPORTANTE: Os comentários e sugestões referentes às contribuições deverão ser fundamentados e justificados, mencionando-se os artigos, parágrafos e incisos a que se referem, devendo ser acompanhados de textos alternativos e substitutivos quando envolverem sugestões de inclusão ou alteração, parcial ou total, de qualquer dispositivo.</w:t>
            </w:r>
          </w:p>
        </w:tc>
      </w:tr>
      <w:tr w:rsidR="00541219" w14:paraId="3BE0104D" w14:textId="77777777">
        <w:trPr>
          <w:trHeight w:val="213"/>
        </w:trPr>
        <w:tc>
          <w:tcPr>
            <w:tcW w:w="5344" w:type="dxa"/>
            <w:tcBorders>
              <w:top w:val="single" w:sz="6" w:space="0" w:color="000000"/>
              <w:left w:val="single" w:sz="6" w:space="0" w:color="000000"/>
              <w:bottom w:val="double" w:sz="4" w:space="0" w:color="000000"/>
              <w:right w:val="single" w:sz="6" w:space="0" w:color="000000"/>
            </w:tcBorders>
            <w:shd w:val="clear" w:color="auto" w:fill="FF0000"/>
          </w:tcPr>
          <w:p w14:paraId="7D2F46B8" w14:textId="77777777" w:rsidR="00541219" w:rsidRDefault="00000000">
            <w:pPr>
              <w:spacing w:after="0"/>
              <w:ind w:left="3" w:firstLine="0"/>
              <w:jc w:val="center"/>
            </w:pPr>
            <w:r>
              <w:rPr>
                <w:color w:val="FFFFFF"/>
                <w:sz w:val="11"/>
              </w:rPr>
              <w:t xml:space="preserve">TEXTO/ANEEL </w:t>
            </w:r>
          </w:p>
        </w:tc>
        <w:tc>
          <w:tcPr>
            <w:tcW w:w="1229" w:type="dxa"/>
            <w:tcBorders>
              <w:top w:val="single" w:sz="6" w:space="0" w:color="000000"/>
              <w:left w:val="single" w:sz="6" w:space="0" w:color="000000"/>
              <w:bottom w:val="double" w:sz="4" w:space="0" w:color="000000"/>
              <w:right w:val="single" w:sz="6" w:space="0" w:color="000000"/>
            </w:tcBorders>
            <w:shd w:val="clear" w:color="auto" w:fill="FF0000"/>
          </w:tcPr>
          <w:p w14:paraId="19B8EE8B" w14:textId="77777777" w:rsidR="00541219" w:rsidRDefault="00000000">
            <w:pPr>
              <w:spacing w:after="0"/>
              <w:ind w:left="70" w:firstLine="0"/>
            </w:pPr>
            <w:r>
              <w:rPr>
                <w:color w:val="FFFFFF"/>
                <w:sz w:val="11"/>
              </w:rPr>
              <w:t>TEXTO/INSTITUIÇÃO</w:t>
            </w:r>
          </w:p>
        </w:tc>
        <w:tc>
          <w:tcPr>
            <w:tcW w:w="3691" w:type="dxa"/>
            <w:tcBorders>
              <w:top w:val="single" w:sz="6" w:space="0" w:color="000000"/>
              <w:left w:val="single" w:sz="6" w:space="0" w:color="000000"/>
              <w:bottom w:val="double" w:sz="4" w:space="0" w:color="000000"/>
              <w:right w:val="single" w:sz="6" w:space="0" w:color="000000"/>
            </w:tcBorders>
            <w:shd w:val="clear" w:color="auto" w:fill="FF0000"/>
          </w:tcPr>
          <w:p w14:paraId="66A3FAF9" w14:textId="77777777" w:rsidR="00541219" w:rsidRDefault="00000000">
            <w:pPr>
              <w:spacing w:after="0"/>
              <w:ind w:left="21" w:firstLine="0"/>
              <w:jc w:val="center"/>
            </w:pPr>
            <w:r>
              <w:rPr>
                <w:color w:val="FFFFFF"/>
                <w:sz w:val="11"/>
              </w:rPr>
              <w:t>JUSTIFICATIVA/INSTITUIÇÃO</w:t>
            </w:r>
          </w:p>
        </w:tc>
      </w:tr>
      <w:tr w:rsidR="00541219" w14:paraId="59F47C57" w14:textId="77777777">
        <w:trPr>
          <w:trHeight w:val="292"/>
        </w:trPr>
        <w:tc>
          <w:tcPr>
            <w:tcW w:w="5344" w:type="dxa"/>
            <w:tcBorders>
              <w:top w:val="double" w:sz="4" w:space="0" w:color="000000"/>
              <w:left w:val="single" w:sz="3" w:space="0" w:color="000000"/>
              <w:bottom w:val="single" w:sz="3" w:space="0" w:color="000000"/>
              <w:right w:val="single" w:sz="3" w:space="0" w:color="000000"/>
            </w:tcBorders>
          </w:tcPr>
          <w:p w14:paraId="1DDE3EC1" w14:textId="77777777" w:rsidR="00541219" w:rsidRDefault="00000000">
            <w:pPr>
              <w:spacing w:after="0"/>
              <w:ind w:left="994" w:firstLine="0"/>
            </w:pPr>
            <w:r>
              <w:rPr>
                <w:sz w:val="8"/>
              </w:rPr>
              <w:t xml:space="preserve">        e) a Aneel possa definir diferentes tipos de tarifas em função de critérios técnicos, locacionais e de qualidade, a serem aplicados de forma não discriminatória, resguardadas a transparência de cálculo e a publicidade dos valores aplicados em cada tipo tarifário; e</w:t>
            </w:r>
          </w:p>
        </w:tc>
        <w:tc>
          <w:tcPr>
            <w:tcW w:w="1229" w:type="dxa"/>
            <w:tcBorders>
              <w:top w:val="double" w:sz="4" w:space="0" w:color="000000"/>
              <w:left w:val="single" w:sz="3" w:space="0" w:color="000000"/>
              <w:bottom w:val="single" w:sz="3" w:space="0" w:color="000000"/>
              <w:right w:val="single" w:sz="3" w:space="0" w:color="000000"/>
            </w:tcBorders>
          </w:tcPr>
          <w:p w14:paraId="721A315A" w14:textId="77777777" w:rsidR="00541219" w:rsidRDefault="00000000">
            <w:pPr>
              <w:spacing w:after="0"/>
              <w:ind w:left="5" w:firstLine="0"/>
            </w:pPr>
            <w:r>
              <w:t>Comentário.</w:t>
            </w:r>
          </w:p>
        </w:tc>
        <w:tc>
          <w:tcPr>
            <w:tcW w:w="3691" w:type="dxa"/>
            <w:tcBorders>
              <w:top w:val="double" w:sz="4" w:space="0" w:color="000000"/>
              <w:left w:val="single" w:sz="3" w:space="0" w:color="000000"/>
              <w:bottom w:val="single" w:sz="3" w:space="0" w:color="000000"/>
              <w:right w:val="single" w:sz="3" w:space="0" w:color="000000"/>
            </w:tcBorders>
          </w:tcPr>
          <w:p w14:paraId="71E42F38" w14:textId="77777777" w:rsidR="00541219" w:rsidRDefault="00000000" w:rsidP="00C164DB">
            <w:pPr>
              <w:spacing w:after="0"/>
              <w:ind w:left="5" w:right="9" w:firstLine="0"/>
              <w:jc w:val="both"/>
            </w:pPr>
            <w:r>
              <w:t>Qualquer mudança nos critérios tarifários deve ser precedida de ampla consulta pública e prazos adequados de alteração devem ser estabelecidos.</w:t>
            </w:r>
          </w:p>
        </w:tc>
      </w:tr>
      <w:tr w:rsidR="00541219" w14:paraId="0E77C517" w14:textId="77777777">
        <w:trPr>
          <w:trHeight w:val="2630"/>
        </w:trPr>
        <w:tc>
          <w:tcPr>
            <w:tcW w:w="5344" w:type="dxa"/>
            <w:tcBorders>
              <w:top w:val="single" w:sz="3" w:space="0" w:color="000000"/>
              <w:left w:val="single" w:sz="3" w:space="0" w:color="000000"/>
              <w:bottom w:val="single" w:sz="3" w:space="0" w:color="000000"/>
              <w:right w:val="single" w:sz="3" w:space="0" w:color="000000"/>
            </w:tcBorders>
            <w:vAlign w:val="center"/>
          </w:tcPr>
          <w:p w14:paraId="1352FF55" w14:textId="77777777" w:rsidR="00541219" w:rsidRDefault="00000000">
            <w:pPr>
              <w:spacing w:after="0"/>
              <w:ind w:left="0" w:right="67" w:firstLine="0"/>
              <w:jc w:val="right"/>
            </w:pPr>
            <w:r>
              <w:rPr>
                <w:sz w:val="8"/>
              </w:rPr>
              <w:t xml:space="preserve">         f) seja utilizado, a partir do primeiro mês de vigência dos termos aditivos aos contratos, o Índice Nacional de Preços ao </w:t>
            </w:r>
          </w:p>
          <w:p w14:paraId="721A1EAB" w14:textId="77777777" w:rsidR="00541219" w:rsidRDefault="00000000">
            <w:pPr>
              <w:spacing w:after="0"/>
              <w:ind w:left="994" w:firstLine="0"/>
            </w:pPr>
            <w:r>
              <w:rPr>
                <w:sz w:val="8"/>
              </w:rPr>
              <w:t>Consumidor Amplo - IPCA como indexador para o Reajuste Tarifário Anual, ou outro índice que venha a substituí-lo;</w:t>
            </w:r>
          </w:p>
        </w:tc>
        <w:tc>
          <w:tcPr>
            <w:tcW w:w="1229" w:type="dxa"/>
            <w:tcBorders>
              <w:top w:val="single" w:sz="3" w:space="0" w:color="000000"/>
              <w:left w:val="single" w:sz="3" w:space="0" w:color="000000"/>
              <w:bottom w:val="single" w:sz="3" w:space="0" w:color="000000"/>
              <w:right w:val="single" w:sz="3" w:space="0" w:color="000000"/>
            </w:tcBorders>
            <w:vAlign w:val="center"/>
          </w:tcPr>
          <w:p w14:paraId="6F176833"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19D5E2F2" w14:textId="1DD1D55C" w:rsidR="00541219" w:rsidRDefault="00000000" w:rsidP="00C164DB">
            <w:pPr>
              <w:spacing w:after="0"/>
              <w:ind w:left="5" w:firstLine="0"/>
              <w:jc w:val="both"/>
            </w:pPr>
            <w:r>
              <w:t>Altamente necessário, visto que no passado recente os consumidores da Energisa Mato Grosso do Sul sofreram com aumentos muito superiores à inflação, por constar no contrato o uso do IGPM. Também importante considerar a constatação de que os custos operacionais e de capital da distribuidora foram menores que as correções pelo IGPM. Abaixo comparativo entre o IGPM, constante dos contratos atuais e o IPCA proposto, que é muito mais aderente à realidade.</w:t>
            </w:r>
          </w:p>
          <w:p w14:paraId="3D700B8C" w14:textId="77777777" w:rsidR="00541219" w:rsidRDefault="00000000">
            <w:pPr>
              <w:spacing w:after="0"/>
              <w:ind w:left="173" w:firstLine="0"/>
            </w:pPr>
            <w:r>
              <w:rPr>
                <w:noProof/>
              </w:rPr>
              <w:drawing>
                <wp:inline distT="0" distB="0" distL="0" distR="0" wp14:anchorId="7E49B5AC" wp14:editId="6CCB81EA">
                  <wp:extent cx="1831848" cy="1014984"/>
                  <wp:effectExtent l="0" t="0" r="0" b="0"/>
                  <wp:docPr id="730" name="Picture 730"/>
                  <wp:cNvGraphicFramePr/>
                  <a:graphic xmlns:a="http://schemas.openxmlformats.org/drawingml/2006/main">
                    <a:graphicData uri="http://schemas.openxmlformats.org/drawingml/2006/picture">
                      <pic:pic xmlns:pic="http://schemas.openxmlformats.org/drawingml/2006/picture">
                        <pic:nvPicPr>
                          <pic:cNvPr id="730" name="Picture 730"/>
                          <pic:cNvPicPr/>
                        </pic:nvPicPr>
                        <pic:blipFill>
                          <a:blip r:embed="rId7"/>
                          <a:stretch>
                            <a:fillRect/>
                          </a:stretch>
                        </pic:blipFill>
                        <pic:spPr>
                          <a:xfrm>
                            <a:off x="0" y="0"/>
                            <a:ext cx="1831848" cy="1014984"/>
                          </a:xfrm>
                          <a:prstGeom prst="rect">
                            <a:avLst/>
                          </a:prstGeom>
                        </pic:spPr>
                      </pic:pic>
                    </a:graphicData>
                  </a:graphic>
                </wp:inline>
              </w:drawing>
            </w:r>
          </w:p>
        </w:tc>
      </w:tr>
      <w:tr w:rsidR="00541219" w14:paraId="31B11BE2" w14:textId="77777777">
        <w:trPr>
          <w:trHeight w:val="442"/>
        </w:trPr>
        <w:tc>
          <w:tcPr>
            <w:tcW w:w="5344" w:type="dxa"/>
            <w:tcBorders>
              <w:top w:val="single" w:sz="3" w:space="0" w:color="000000"/>
              <w:left w:val="single" w:sz="3" w:space="0" w:color="000000"/>
              <w:bottom w:val="single" w:sz="3" w:space="0" w:color="000000"/>
              <w:right w:val="single" w:sz="3" w:space="0" w:color="000000"/>
            </w:tcBorders>
            <w:vAlign w:val="center"/>
          </w:tcPr>
          <w:p w14:paraId="23D0C4EB" w14:textId="77777777" w:rsidR="00541219" w:rsidRDefault="00000000">
            <w:pPr>
              <w:spacing w:after="0"/>
              <w:ind w:left="497" w:firstLine="0"/>
            </w:pPr>
            <w:r>
              <w:rPr>
                <w:sz w:val="8"/>
              </w:rPr>
              <w:t xml:space="preserve">     XV - </w:t>
            </w:r>
            <w:proofErr w:type="gramStart"/>
            <w:r>
              <w:rPr>
                <w:sz w:val="8"/>
              </w:rPr>
              <w:t>aplicação</w:t>
            </w:r>
            <w:proofErr w:type="gramEnd"/>
            <w:r>
              <w:rPr>
                <w:sz w:val="8"/>
              </w:rPr>
              <w:t xml:space="preserve"> de incentivos compatíveis com a capacidade de gestão em concessões com relevante presença de áreas com severas restrições ao combate às perdas de energia e à inadimplência;</w:t>
            </w:r>
          </w:p>
        </w:tc>
        <w:tc>
          <w:tcPr>
            <w:tcW w:w="1229" w:type="dxa"/>
            <w:tcBorders>
              <w:top w:val="single" w:sz="3" w:space="0" w:color="000000"/>
              <w:left w:val="single" w:sz="3" w:space="0" w:color="000000"/>
              <w:bottom w:val="single" w:sz="3" w:space="0" w:color="000000"/>
              <w:right w:val="single" w:sz="3" w:space="0" w:color="000000"/>
            </w:tcBorders>
            <w:vAlign w:val="center"/>
          </w:tcPr>
          <w:p w14:paraId="1B1F42BD"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19501E8F" w14:textId="77777777" w:rsidR="00541219" w:rsidRDefault="00000000" w:rsidP="00C164DB">
            <w:pPr>
              <w:spacing w:after="0"/>
              <w:ind w:left="5" w:firstLine="0"/>
              <w:jc w:val="both"/>
            </w:pPr>
            <w:r>
              <w:t>Os incentivos à gestão do combate a Perdas Não Técnicas e Inadimplência também não podem recair exclusivamente sobre o mercado cativo de baixa tesão, deve ser dividido com todos os consumidores, sejam do Grupo A sejam do Grupo B.</w:t>
            </w:r>
          </w:p>
        </w:tc>
      </w:tr>
      <w:tr w:rsidR="00541219" w14:paraId="5983A529"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72876EF6" w14:textId="77777777" w:rsidR="00541219" w:rsidRDefault="00000000">
            <w:pPr>
              <w:spacing w:after="0"/>
              <w:ind w:left="497" w:firstLine="0"/>
            </w:pPr>
            <w:r>
              <w:rPr>
                <w:sz w:val="8"/>
              </w:rPr>
              <w:t xml:space="preserve">     XVI - proteção dos dados pessoais custodiados pela concessionária, assegurado que tais dados sejam utilizados estritamente no âmbito das atividades da concessão;</w:t>
            </w:r>
          </w:p>
        </w:tc>
        <w:tc>
          <w:tcPr>
            <w:tcW w:w="1229" w:type="dxa"/>
            <w:tcBorders>
              <w:top w:val="single" w:sz="3" w:space="0" w:color="000000"/>
              <w:left w:val="single" w:sz="3" w:space="0" w:color="000000"/>
              <w:bottom w:val="single" w:sz="3" w:space="0" w:color="000000"/>
              <w:right w:val="single" w:sz="3" w:space="0" w:color="000000"/>
            </w:tcBorders>
          </w:tcPr>
          <w:p w14:paraId="50B8C69B"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5BA8103C" w14:textId="77777777" w:rsidR="00541219" w:rsidRDefault="00000000">
            <w:pPr>
              <w:spacing w:after="0"/>
              <w:ind w:left="5" w:firstLine="0"/>
            </w:pPr>
            <w:r>
              <w:t>Proteção de dados devem estar aderentes à lei 13.709/2018.</w:t>
            </w:r>
          </w:p>
        </w:tc>
      </w:tr>
      <w:tr w:rsidR="00541219" w14:paraId="6066FC98"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2A640E28" w14:textId="77777777" w:rsidR="00541219" w:rsidRDefault="00000000">
            <w:pPr>
              <w:spacing w:after="0"/>
              <w:ind w:left="497" w:firstLine="0"/>
            </w:pPr>
            <w:r>
              <w:rPr>
                <w:sz w:val="8"/>
              </w:rPr>
              <w:t xml:space="preserve">     XVII - possibilidade de a Aneel, observada a Lei nº 13.709, de 14 de agosto de 2018, em articulação com a Autoridade Nacional de Proteção de Dados – ANPD, dispor sobre o tratamento dos dados pessoais custodiados pela concessionária, com possibilidades de compartilhamento de forma não discriminatória, com amplo e isonômico acesso aos interessados e em benefício da concorrência, respeitados os direitos de proteção dos dados pessoais;</w:t>
            </w:r>
          </w:p>
        </w:tc>
        <w:tc>
          <w:tcPr>
            <w:tcW w:w="1229" w:type="dxa"/>
            <w:tcBorders>
              <w:top w:val="single" w:sz="3" w:space="0" w:color="000000"/>
              <w:left w:val="single" w:sz="3" w:space="0" w:color="000000"/>
              <w:bottom w:val="single" w:sz="3" w:space="0" w:color="000000"/>
              <w:right w:val="single" w:sz="3" w:space="0" w:color="000000"/>
            </w:tcBorders>
            <w:vAlign w:val="center"/>
          </w:tcPr>
          <w:p w14:paraId="5B7FDC76"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53398317" w14:textId="77777777" w:rsidR="00541219" w:rsidRDefault="00000000">
            <w:pPr>
              <w:spacing w:after="0"/>
              <w:ind w:left="5" w:firstLine="0"/>
              <w:jc w:val="both"/>
            </w:pPr>
            <w:r>
              <w:t>Qualquer uso de dados, mediante autorização prévia do consumidor, deve privilegiar a modicidade tarifária.</w:t>
            </w:r>
          </w:p>
        </w:tc>
      </w:tr>
      <w:tr w:rsidR="00541219" w14:paraId="2FFA1AAF"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69F53AFE" w14:textId="77777777" w:rsidR="00541219" w:rsidRDefault="00000000">
            <w:pPr>
              <w:spacing w:after="0"/>
              <w:ind w:left="497" w:firstLine="0"/>
            </w:pPr>
            <w:r>
              <w:rPr>
                <w:sz w:val="8"/>
              </w:rPr>
              <w:t xml:space="preserve">     XVIII - compartilhamento dos dados pessoais somente mediante o prévio consentimento do usuário, ou utilizando base legal definida pela Lei nº 13.709, de 14 de agosto de 2018, considerando a natureza dos dados, desde que de forma não discriminatória, com amplo e isonômico acesso aos interessados e em benefício da concorrência, em conformidade com o disposto na referida Lei e nas regulamentações específicas da Aneel;</w:t>
            </w:r>
          </w:p>
        </w:tc>
        <w:tc>
          <w:tcPr>
            <w:tcW w:w="1229" w:type="dxa"/>
            <w:tcBorders>
              <w:top w:val="single" w:sz="3" w:space="0" w:color="000000"/>
              <w:left w:val="single" w:sz="3" w:space="0" w:color="000000"/>
              <w:bottom w:val="single" w:sz="3" w:space="0" w:color="000000"/>
              <w:right w:val="single" w:sz="3" w:space="0" w:color="000000"/>
            </w:tcBorders>
            <w:vAlign w:val="center"/>
          </w:tcPr>
          <w:p w14:paraId="7FE51210"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11F2F051" w14:textId="77777777" w:rsidR="00541219" w:rsidRDefault="00000000">
            <w:pPr>
              <w:spacing w:after="0"/>
              <w:ind w:left="5" w:firstLine="0"/>
              <w:jc w:val="both"/>
            </w:pPr>
            <w:r>
              <w:t>Qualquer uso de dados, mediante autorização prévia do consumidor, deve privilegiar a modicidade tarifária.</w:t>
            </w:r>
          </w:p>
        </w:tc>
      </w:tr>
      <w:tr w:rsidR="00541219" w14:paraId="3278FBB4" w14:textId="77777777">
        <w:trPr>
          <w:trHeight w:val="442"/>
        </w:trPr>
        <w:tc>
          <w:tcPr>
            <w:tcW w:w="5344" w:type="dxa"/>
            <w:tcBorders>
              <w:top w:val="single" w:sz="3" w:space="0" w:color="000000"/>
              <w:left w:val="single" w:sz="3" w:space="0" w:color="000000"/>
              <w:bottom w:val="single" w:sz="3" w:space="0" w:color="000000"/>
              <w:right w:val="single" w:sz="3" w:space="0" w:color="000000"/>
            </w:tcBorders>
            <w:vAlign w:val="center"/>
          </w:tcPr>
          <w:p w14:paraId="28DE7B73" w14:textId="77777777" w:rsidR="00541219" w:rsidRDefault="00000000">
            <w:pPr>
              <w:spacing w:after="0"/>
              <w:ind w:left="497" w:firstLine="0"/>
              <w:jc w:val="both"/>
            </w:pPr>
            <w:r>
              <w:rPr>
                <w:sz w:val="8"/>
              </w:rPr>
              <w:t xml:space="preserve">     XIX - uniformização de exigências de qualificação técnica entre concessionária e empresas terceirizadas que prestem serviços técnicos relacionados à atividade fim da concessionária;</w:t>
            </w:r>
          </w:p>
        </w:tc>
        <w:tc>
          <w:tcPr>
            <w:tcW w:w="1229" w:type="dxa"/>
            <w:tcBorders>
              <w:top w:val="single" w:sz="3" w:space="0" w:color="000000"/>
              <w:left w:val="single" w:sz="3" w:space="0" w:color="000000"/>
              <w:bottom w:val="single" w:sz="3" w:space="0" w:color="000000"/>
              <w:right w:val="single" w:sz="3" w:space="0" w:color="000000"/>
            </w:tcBorders>
            <w:vAlign w:val="center"/>
          </w:tcPr>
          <w:p w14:paraId="7A32B660"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068B8BA5" w14:textId="6D651AF8" w:rsidR="00541219" w:rsidRDefault="00000000" w:rsidP="00C164DB">
            <w:pPr>
              <w:spacing w:after="0"/>
              <w:ind w:left="5" w:firstLine="0"/>
              <w:jc w:val="both"/>
            </w:pPr>
            <w:r>
              <w:t>O Contrato de Concessão é entre a União e a Concessionaria que deve ser responsável pelo serviço independentemente de serem seus funcionários próprios ou terceirizados</w:t>
            </w:r>
            <w:r w:rsidR="004E1AA6">
              <w:t>. Todo</w:t>
            </w:r>
            <w:r>
              <w:t>s devem ter a mesma forma de trabalho com obrigações e responsabilidades finais iguais.</w:t>
            </w:r>
          </w:p>
        </w:tc>
      </w:tr>
      <w:tr w:rsidR="00541219" w14:paraId="0F37FE55" w14:textId="77777777">
        <w:trPr>
          <w:trHeight w:val="221"/>
        </w:trPr>
        <w:tc>
          <w:tcPr>
            <w:tcW w:w="5344" w:type="dxa"/>
            <w:tcBorders>
              <w:top w:val="single" w:sz="3" w:space="0" w:color="000000"/>
              <w:left w:val="single" w:sz="3" w:space="0" w:color="000000"/>
              <w:bottom w:val="single" w:sz="3" w:space="0" w:color="000000"/>
              <w:right w:val="single" w:sz="3" w:space="0" w:color="000000"/>
            </w:tcBorders>
          </w:tcPr>
          <w:p w14:paraId="665CFC29" w14:textId="77777777" w:rsidR="00541219" w:rsidRDefault="00000000">
            <w:pPr>
              <w:spacing w:after="0"/>
              <w:ind w:left="497" w:firstLine="0"/>
            </w:pPr>
            <w:r>
              <w:rPr>
                <w:sz w:val="8"/>
              </w:rPr>
              <w:t xml:space="preserve">     XX - </w:t>
            </w:r>
            <w:proofErr w:type="gramStart"/>
            <w:r>
              <w:rPr>
                <w:sz w:val="8"/>
              </w:rPr>
              <w:t>estímulo</w:t>
            </w:r>
            <w:proofErr w:type="gramEnd"/>
            <w:r>
              <w:rPr>
                <w:sz w:val="8"/>
              </w:rPr>
              <w:t xml:space="preserve"> à digitalização gradual das redes e serviços, inclusive de instrumentos de medição de energia elétrica, conforme diretrizes do Ministério de Minas e Energia;</w:t>
            </w:r>
          </w:p>
        </w:tc>
        <w:tc>
          <w:tcPr>
            <w:tcW w:w="1229" w:type="dxa"/>
            <w:tcBorders>
              <w:top w:val="single" w:sz="3" w:space="0" w:color="000000"/>
              <w:left w:val="single" w:sz="3" w:space="0" w:color="000000"/>
              <w:bottom w:val="single" w:sz="3" w:space="0" w:color="000000"/>
              <w:right w:val="single" w:sz="3" w:space="0" w:color="000000"/>
            </w:tcBorders>
          </w:tcPr>
          <w:p w14:paraId="18428D95"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4C3E5B0E" w14:textId="77777777" w:rsidR="00541219" w:rsidRDefault="00000000" w:rsidP="002308BA">
            <w:pPr>
              <w:spacing w:after="0"/>
              <w:ind w:left="5" w:firstLine="0"/>
              <w:jc w:val="both"/>
            </w:pPr>
            <w:r>
              <w:t>O estímulo à digitalização deve estar adequado a benefícios maiores que os custos aderentes à digitalização pura e simples.</w:t>
            </w:r>
          </w:p>
        </w:tc>
      </w:tr>
      <w:tr w:rsidR="00541219" w14:paraId="43CEBA58" w14:textId="77777777">
        <w:trPr>
          <w:trHeight w:val="221"/>
        </w:trPr>
        <w:tc>
          <w:tcPr>
            <w:tcW w:w="5344" w:type="dxa"/>
            <w:tcBorders>
              <w:top w:val="single" w:sz="3" w:space="0" w:color="000000"/>
              <w:left w:val="single" w:sz="3" w:space="0" w:color="000000"/>
              <w:bottom w:val="single" w:sz="3" w:space="0" w:color="000000"/>
              <w:right w:val="single" w:sz="3" w:space="0" w:color="000000"/>
            </w:tcBorders>
          </w:tcPr>
          <w:p w14:paraId="7224B8F9" w14:textId="77777777" w:rsidR="00541219" w:rsidRDefault="00000000">
            <w:pPr>
              <w:spacing w:after="0"/>
              <w:ind w:left="497" w:firstLine="0"/>
            </w:pPr>
            <w:r>
              <w:rPr>
                <w:sz w:val="8"/>
              </w:rPr>
              <w:t xml:space="preserve">     XXI - modernidade das técnicas, dos equipamentos e das instalações;</w:t>
            </w:r>
          </w:p>
        </w:tc>
        <w:tc>
          <w:tcPr>
            <w:tcW w:w="1229" w:type="dxa"/>
            <w:tcBorders>
              <w:top w:val="single" w:sz="3" w:space="0" w:color="000000"/>
              <w:left w:val="single" w:sz="3" w:space="0" w:color="000000"/>
              <w:bottom w:val="single" w:sz="3" w:space="0" w:color="000000"/>
              <w:right w:val="single" w:sz="3" w:space="0" w:color="000000"/>
            </w:tcBorders>
          </w:tcPr>
          <w:p w14:paraId="05D92E35"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77CE6391" w14:textId="6D4721B2" w:rsidR="00541219" w:rsidRDefault="00000000">
            <w:pPr>
              <w:spacing w:after="0"/>
              <w:ind w:left="5" w:firstLine="0"/>
            </w:pPr>
            <w:r>
              <w:t xml:space="preserve">A modernização deve ser aderente </w:t>
            </w:r>
            <w:r w:rsidR="002308BA">
              <w:t>à</w:t>
            </w:r>
            <w:r>
              <w:t xml:space="preserve"> melhora do serviço e a modicidade tarifária.</w:t>
            </w:r>
          </w:p>
        </w:tc>
      </w:tr>
      <w:tr w:rsidR="00541219" w14:paraId="5749DEE7"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6CCFA7CB" w14:textId="77777777" w:rsidR="00541219" w:rsidRDefault="00000000">
            <w:pPr>
              <w:spacing w:after="0"/>
              <w:ind w:left="497" w:right="24" w:firstLine="0"/>
            </w:pPr>
            <w:r>
              <w:rPr>
                <w:sz w:val="8"/>
              </w:rPr>
              <w:t xml:space="preserve">     XXII - possibilidade de a Aneel, no caso de descumprimento de indicadores de qualidade técnica, comercial e </w:t>
            </w:r>
            <w:proofErr w:type="spellStart"/>
            <w:r>
              <w:rPr>
                <w:sz w:val="8"/>
              </w:rPr>
              <w:t>econômicofinanceiros</w:t>
            </w:r>
            <w:proofErr w:type="spellEnd"/>
            <w:r>
              <w:rPr>
                <w:sz w:val="8"/>
              </w:rPr>
              <w:t>, estabelecer limitação do pagamento de dividendos e de juros sobre o capital próprio, respeitado os limites mínimos legais, e de limitar novos atos e negócios jurídicos entre a concessionária e suas partes relacionadas;</w:t>
            </w:r>
          </w:p>
        </w:tc>
        <w:tc>
          <w:tcPr>
            <w:tcW w:w="1229" w:type="dxa"/>
            <w:tcBorders>
              <w:top w:val="single" w:sz="3" w:space="0" w:color="000000"/>
              <w:left w:val="single" w:sz="3" w:space="0" w:color="000000"/>
              <w:bottom w:val="single" w:sz="3" w:space="0" w:color="000000"/>
              <w:right w:val="single" w:sz="3" w:space="0" w:color="000000"/>
            </w:tcBorders>
          </w:tcPr>
          <w:p w14:paraId="7565112D"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4150E40F" w14:textId="77777777" w:rsidR="00541219" w:rsidRDefault="00000000" w:rsidP="002308BA">
            <w:pPr>
              <w:spacing w:after="0"/>
              <w:ind w:left="5" w:firstLine="0"/>
              <w:jc w:val="both"/>
            </w:pPr>
            <w:r>
              <w:t xml:space="preserve">Interessante medida de ação preventiva que pode minimizar efeitos futuros de caducidade da concessão. </w:t>
            </w:r>
          </w:p>
        </w:tc>
      </w:tr>
      <w:tr w:rsidR="00541219" w14:paraId="67C64743" w14:textId="77777777">
        <w:trPr>
          <w:trHeight w:val="221"/>
        </w:trPr>
        <w:tc>
          <w:tcPr>
            <w:tcW w:w="5344" w:type="dxa"/>
            <w:tcBorders>
              <w:top w:val="single" w:sz="3" w:space="0" w:color="000000"/>
              <w:left w:val="single" w:sz="3" w:space="0" w:color="000000"/>
              <w:bottom w:val="single" w:sz="3" w:space="0" w:color="000000"/>
              <w:right w:val="single" w:sz="3" w:space="0" w:color="000000"/>
            </w:tcBorders>
          </w:tcPr>
          <w:p w14:paraId="47F91A63" w14:textId="77777777" w:rsidR="00541219" w:rsidRDefault="00000000">
            <w:pPr>
              <w:spacing w:after="0"/>
              <w:ind w:left="497" w:firstLine="0"/>
            </w:pPr>
            <w:r>
              <w:rPr>
                <w:sz w:val="8"/>
              </w:rPr>
              <w:t xml:space="preserve">     XXIII - obrigação de apuração e divulgação de indicadores de duração e frequência de interrupções efetivamente percebidas pelos usuários;</w:t>
            </w:r>
          </w:p>
        </w:tc>
        <w:tc>
          <w:tcPr>
            <w:tcW w:w="1229" w:type="dxa"/>
            <w:tcBorders>
              <w:top w:val="single" w:sz="3" w:space="0" w:color="000000"/>
              <w:left w:val="single" w:sz="3" w:space="0" w:color="000000"/>
              <w:bottom w:val="single" w:sz="3" w:space="0" w:color="000000"/>
              <w:right w:val="single" w:sz="3" w:space="0" w:color="000000"/>
            </w:tcBorders>
          </w:tcPr>
          <w:p w14:paraId="3A7612F8"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5EC2871D" w14:textId="77777777" w:rsidR="00541219" w:rsidRDefault="00000000">
            <w:pPr>
              <w:spacing w:after="0"/>
              <w:ind w:left="5" w:firstLine="0"/>
            </w:pPr>
            <w:r>
              <w:t>A transparência para os consumidores é item importante para o acompanhamento do serviço.</w:t>
            </w:r>
          </w:p>
        </w:tc>
      </w:tr>
      <w:tr w:rsidR="00541219" w14:paraId="62CD16C7"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3CA8CC7A" w14:textId="77777777" w:rsidR="00541219" w:rsidRDefault="00000000">
            <w:pPr>
              <w:spacing w:after="0"/>
              <w:ind w:left="497" w:firstLine="0"/>
            </w:pPr>
            <w:r>
              <w:rPr>
                <w:sz w:val="8"/>
              </w:rPr>
              <w:t xml:space="preserve">     XXIV - promoção de capacitação de profissionais da área de concessão, incluindo critérios de diversidade e condições socioeconômicas;</w:t>
            </w:r>
          </w:p>
        </w:tc>
        <w:tc>
          <w:tcPr>
            <w:tcW w:w="1229" w:type="dxa"/>
            <w:vMerge w:val="restart"/>
            <w:tcBorders>
              <w:top w:val="single" w:sz="3" w:space="0" w:color="000000"/>
              <w:left w:val="single" w:sz="3" w:space="0" w:color="000000"/>
              <w:bottom w:val="single" w:sz="3" w:space="0" w:color="000000"/>
              <w:right w:val="nil"/>
            </w:tcBorders>
          </w:tcPr>
          <w:p w14:paraId="32B936D1" w14:textId="77777777" w:rsidR="00541219" w:rsidRDefault="00541219">
            <w:pPr>
              <w:spacing w:after="160"/>
              <w:ind w:left="0" w:firstLine="0"/>
            </w:pPr>
          </w:p>
        </w:tc>
        <w:tc>
          <w:tcPr>
            <w:tcW w:w="3691" w:type="dxa"/>
            <w:vMerge w:val="restart"/>
            <w:tcBorders>
              <w:top w:val="single" w:sz="3" w:space="0" w:color="000000"/>
              <w:left w:val="nil"/>
              <w:bottom w:val="single" w:sz="3" w:space="0" w:color="000000"/>
              <w:right w:val="nil"/>
            </w:tcBorders>
          </w:tcPr>
          <w:p w14:paraId="0678C93F" w14:textId="77777777" w:rsidR="00541219" w:rsidRDefault="00541219">
            <w:pPr>
              <w:spacing w:after="160"/>
              <w:ind w:left="0" w:firstLine="0"/>
            </w:pPr>
          </w:p>
        </w:tc>
      </w:tr>
      <w:tr w:rsidR="00541219" w14:paraId="7BC9BAFB"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70EFC687" w14:textId="77777777" w:rsidR="00541219" w:rsidRDefault="00000000">
            <w:pPr>
              <w:spacing w:after="0"/>
              <w:ind w:left="497" w:right="12" w:firstLine="0"/>
            </w:pPr>
            <w:r>
              <w:rPr>
                <w:sz w:val="8"/>
              </w:rPr>
              <w:t xml:space="preserve">     XXV - estabelecimento de canal de comunicação dedicado ao atendimento de órgão central dos Poderes Públicos municipal, distrital e estadual;</w:t>
            </w:r>
          </w:p>
        </w:tc>
        <w:tc>
          <w:tcPr>
            <w:tcW w:w="0" w:type="auto"/>
            <w:vMerge/>
            <w:tcBorders>
              <w:top w:val="nil"/>
              <w:left w:val="single" w:sz="3" w:space="0" w:color="000000"/>
              <w:bottom w:val="nil"/>
              <w:right w:val="nil"/>
            </w:tcBorders>
          </w:tcPr>
          <w:p w14:paraId="39A01B02" w14:textId="77777777" w:rsidR="00541219" w:rsidRDefault="00541219">
            <w:pPr>
              <w:spacing w:after="160"/>
              <w:ind w:left="0" w:firstLine="0"/>
            </w:pPr>
          </w:p>
        </w:tc>
        <w:tc>
          <w:tcPr>
            <w:tcW w:w="0" w:type="auto"/>
            <w:vMerge/>
            <w:tcBorders>
              <w:top w:val="nil"/>
              <w:left w:val="nil"/>
              <w:bottom w:val="nil"/>
              <w:right w:val="nil"/>
            </w:tcBorders>
          </w:tcPr>
          <w:p w14:paraId="4E390034" w14:textId="77777777" w:rsidR="00541219" w:rsidRDefault="00541219">
            <w:pPr>
              <w:spacing w:after="160"/>
              <w:ind w:left="0" w:firstLine="0"/>
            </w:pPr>
          </w:p>
        </w:tc>
      </w:tr>
      <w:tr w:rsidR="00541219" w14:paraId="6CFB4ED9"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05172533" w14:textId="77777777" w:rsidR="00541219" w:rsidRDefault="00000000">
            <w:pPr>
              <w:spacing w:after="0"/>
              <w:ind w:left="497" w:firstLine="0"/>
              <w:jc w:val="both"/>
            </w:pPr>
            <w:r>
              <w:rPr>
                <w:sz w:val="8"/>
              </w:rPr>
              <w:t xml:space="preserve">     XXVI - adesão ao conceito de “trabalho decente” estabelecido pela Organização Internacional do Trabalho - OIT, com vistas ao trabalho produtivo e de qualidade, em condições de liberdade, equidade, segurança e dignidade humana;</w:t>
            </w:r>
          </w:p>
        </w:tc>
        <w:tc>
          <w:tcPr>
            <w:tcW w:w="0" w:type="auto"/>
            <w:vMerge/>
            <w:tcBorders>
              <w:top w:val="nil"/>
              <w:left w:val="single" w:sz="3" w:space="0" w:color="000000"/>
              <w:bottom w:val="single" w:sz="3" w:space="0" w:color="000000"/>
              <w:right w:val="nil"/>
            </w:tcBorders>
          </w:tcPr>
          <w:p w14:paraId="63FACC4C" w14:textId="77777777" w:rsidR="00541219" w:rsidRDefault="00541219">
            <w:pPr>
              <w:spacing w:after="160"/>
              <w:ind w:left="0" w:firstLine="0"/>
            </w:pPr>
          </w:p>
        </w:tc>
        <w:tc>
          <w:tcPr>
            <w:tcW w:w="0" w:type="auto"/>
            <w:vMerge/>
            <w:tcBorders>
              <w:top w:val="nil"/>
              <w:left w:val="nil"/>
              <w:bottom w:val="single" w:sz="3" w:space="0" w:color="000000"/>
              <w:right w:val="nil"/>
            </w:tcBorders>
          </w:tcPr>
          <w:p w14:paraId="277C7759" w14:textId="77777777" w:rsidR="00541219" w:rsidRDefault="00541219">
            <w:pPr>
              <w:spacing w:after="160"/>
              <w:ind w:left="0" w:firstLine="0"/>
            </w:pPr>
          </w:p>
        </w:tc>
      </w:tr>
      <w:tr w:rsidR="00541219" w14:paraId="13B78DCC" w14:textId="77777777">
        <w:trPr>
          <w:trHeight w:val="331"/>
        </w:trPr>
        <w:tc>
          <w:tcPr>
            <w:tcW w:w="5344" w:type="dxa"/>
            <w:tcBorders>
              <w:top w:val="single" w:sz="3" w:space="0" w:color="000000"/>
              <w:left w:val="single" w:sz="3" w:space="0" w:color="000000"/>
              <w:bottom w:val="single" w:sz="3" w:space="0" w:color="000000"/>
              <w:right w:val="single" w:sz="3" w:space="0" w:color="000000"/>
            </w:tcBorders>
          </w:tcPr>
          <w:p w14:paraId="000CB98C" w14:textId="77777777" w:rsidR="00541219" w:rsidRDefault="00000000">
            <w:pPr>
              <w:spacing w:after="0"/>
              <w:ind w:left="497" w:firstLine="0"/>
            </w:pPr>
            <w:r>
              <w:rPr>
                <w:sz w:val="8"/>
              </w:rPr>
              <w:t xml:space="preserve">     XXVII - disponibilização, no sítio eletrônico da concessionária, de informações sobre disponibilidade de carga, carregamento atual e projetado, fluxos de potência e demais informações necessárias à facilitação dos processos de conexão de usuários, incluindo aqueles que fazem uso da microgeração e minigeração distribuída; e</w:t>
            </w:r>
          </w:p>
        </w:tc>
        <w:tc>
          <w:tcPr>
            <w:tcW w:w="1229" w:type="dxa"/>
            <w:tcBorders>
              <w:top w:val="single" w:sz="3" w:space="0" w:color="000000"/>
              <w:left w:val="single" w:sz="3" w:space="0" w:color="000000"/>
              <w:bottom w:val="single" w:sz="3" w:space="0" w:color="000000"/>
              <w:right w:val="single" w:sz="3" w:space="0" w:color="000000"/>
            </w:tcBorders>
            <w:vAlign w:val="center"/>
          </w:tcPr>
          <w:p w14:paraId="0336D3C1"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696646D0" w14:textId="77777777" w:rsidR="00541219" w:rsidRDefault="00000000" w:rsidP="002308BA">
            <w:pPr>
              <w:spacing w:after="0"/>
              <w:ind w:left="5" w:firstLine="0"/>
              <w:jc w:val="both"/>
            </w:pPr>
            <w:r>
              <w:t xml:space="preserve">Transparência é essencial. Também é importante que todos os custos de novas conexões sejam claramente definidos para que não sejam impostos aos demais consumidores que já estão conectados. </w:t>
            </w:r>
          </w:p>
        </w:tc>
      </w:tr>
      <w:tr w:rsidR="00541219" w14:paraId="0EE53A78"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03C79285" w14:textId="77777777" w:rsidR="00541219" w:rsidRDefault="00000000">
            <w:pPr>
              <w:spacing w:after="0"/>
              <w:ind w:left="497" w:firstLine="0"/>
            </w:pPr>
            <w:r>
              <w:rPr>
                <w:sz w:val="8"/>
              </w:rPr>
              <w:t xml:space="preserve">     XXVIII - disponibilização dos valores de indenização constantes das faturas dos usuários por violação dos indicadores de continuidade individual, conforme regulação da Aneel.</w:t>
            </w:r>
          </w:p>
        </w:tc>
        <w:tc>
          <w:tcPr>
            <w:tcW w:w="1229" w:type="dxa"/>
            <w:tcBorders>
              <w:top w:val="single" w:sz="3" w:space="0" w:color="000000"/>
              <w:left w:val="single" w:sz="3" w:space="0" w:color="000000"/>
              <w:bottom w:val="single" w:sz="3" w:space="0" w:color="000000"/>
              <w:right w:val="single" w:sz="3" w:space="0" w:color="000000"/>
            </w:tcBorders>
          </w:tcPr>
          <w:p w14:paraId="1A4CAFC4"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0AFFB591" w14:textId="77777777" w:rsidR="00541219" w:rsidRDefault="00000000">
            <w:pPr>
              <w:spacing w:after="0"/>
              <w:ind w:left="5" w:firstLine="0"/>
            </w:pPr>
            <w:r>
              <w:t>Os valores de indenização aos consumidores devem ser aprimorados.</w:t>
            </w:r>
          </w:p>
        </w:tc>
      </w:tr>
      <w:tr w:rsidR="00541219" w14:paraId="08A78742"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0B00C951" w14:textId="77777777" w:rsidR="00541219" w:rsidRDefault="00000000">
            <w:pPr>
              <w:spacing w:after="0"/>
              <w:ind w:left="497" w:right="18" w:firstLine="0"/>
            </w:pPr>
            <w:r>
              <w:rPr>
                <w:sz w:val="8"/>
              </w:rPr>
              <w:t xml:space="preserve">     § 1o As distribuidoras deverão informar e manter, por até cinco anos, em seu sítio eletrônico, os indicadores estabelecidos nos incisos V, VI e VII do caput, e disponibilizar meio para o usuário obter seus indicadores individuais.</w:t>
            </w:r>
          </w:p>
        </w:tc>
        <w:tc>
          <w:tcPr>
            <w:tcW w:w="1229" w:type="dxa"/>
            <w:vMerge w:val="restart"/>
            <w:tcBorders>
              <w:top w:val="single" w:sz="3" w:space="0" w:color="000000"/>
              <w:left w:val="single" w:sz="3" w:space="0" w:color="000000"/>
              <w:bottom w:val="single" w:sz="3" w:space="0" w:color="000000"/>
              <w:right w:val="nil"/>
            </w:tcBorders>
          </w:tcPr>
          <w:p w14:paraId="3837D2FC" w14:textId="77777777" w:rsidR="00541219" w:rsidRDefault="00541219">
            <w:pPr>
              <w:spacing w:after="160"/>
              <w:ind w:left="0" w:firstLine="0"/>
            </w:pPr>
          </w:p>
        </w:tc>
        <w:tc>
          <w:tcPr>
            <w:tcW w:w="3691" w:type="dxa"/>
            <w:vMerge w:val="restart"/>
            <w:tcBorders>
              <w:top w:val="single" w:sz="3" w:space="0" w:color="000000"/>
              <w:left w:val="nil"/>
              <w:bottom w:val="single" w:sz="3" w:space="0" w:color="000000"/>
              <w:right w:val="nil"/>
            </w:tcBorders>
          </w:tcPr>
          <w:p w14:paraId="50A5EDFB" w14:textId="77777777" w:rsidR="00541219" w:rsidRDefault="00541219">
            <w:pPr>
              <w:spacing w:after="160"/>
              <w:ind w:left="0" w:firstLine="0"/>
            </w:pPr>
          </w:p>
        </w:tc>
      </w:tr>
      <w:tr w:rsidR="00541219" w14:paraId="2850DF6E"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1DFCB6FC" w14:textId="77777777" w:rsidR="00541219" w:rsidRDefault="00000000">
            <w:pPr>
              <w:spacing w:after="0"/>
              <w:ind w:left="497" w:firstLine="0"/>
            </w:pPr>
            <w:r>
              <w:rPr>
                <w:sz w:val="8"/>
              </w:rPr>
              <w:t xml:space="preserve">     § 2o A apuração dos indicadores estabelecidos nos incisos V, VI e VII do caput deverá contemplar tratamento para áreas de elevada complexidade ao combate às perdas de energia e de elevada inadimplência.</w:t>
            </w:r>
          </w:p>
        </w:tc>
        <w:tc>
          <w:tcPr>
            <w:tcW w:w="0" w:type="auto"/>
            <w:vMerge/>
            <w:tcBorders>
              <w:top w:val="nil"/>
              <w:left w:val="single" w:sz="3" w:space="0" w:color="000000"/>
              <w:bottom w:val="nil"/>
              <w:right w:val="nil"/>
            </w:tcBorders>
          </w:tcPr>
          <w:p w14:paraId="0304AA62" w14:textId="77777777" w:rsidR="00541219" w:rsidRDefault="00541219">
            <w:pPr>
              <w:spacing w:after="160"/>
              <w:ind w:left="0" w:firstLine="0"/>
            </w:pPr>
          </w:p>
        </w:tc>
        <w:tc>
          <w:tcPr>
            <w:tcW w:w="0" w:type="auto"/>
            <w:vMerge/>
            <w:tcBorders>
              <w:top w:val="nil"/>
              <w:left w:val="nil"/>
              <w:bottom w:val="nil"/>
              <w:right w:val="nil"/>
            </w:tcBorders>
          </w:tcPr>
          <w:p w14:paraId="650913FE" w14:textId="77777777" w:rsidR="00541219" w:rsidRDefault="00541219">
            <w:pPr>
              <w:spacing w:after="160"/>
              <w:ind w:left="0" w:firstLine="0"/>
            </w:pPr>
          </w:p>
        </w:tc>
      </w:tr>
      <w:tr w:rsidR="00541219" w14:paraId="5F169019"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41983582" w14:textId="77777777" w:rsidR="00541219" w:rsidRDefault="00000000">
            <w:pPr>
              <w:spacing w:after="0"/>
              <w:ind w:left="497" w:firstLine="0"/>
            </w:pPr>
            <w:r>
              <w:rPr>
                <w:sz w:val="8"/>
              </w:rPr>
              <w:t xml:space="preserve">     § 3o Para as áreas de concessão de que trata o inciso XV do caput, a concessionária de distribuição deverá manter plano para atuação no combate às perdas de energia, sujeito à fiscalização da Aneel, e cujo desempenho da concessionária na sua implantação deverá ser refletido nos níveis regulatórios de perdas e receitas irrecuperáveis.</w:t>
            </w:r>
          </w:p>
        </w:tc>
        <w:tc>
          <w:tcPr>
            <w:tcW w:w="0" w:type="auto"/>
            <w:vMerge/>
            <w:tcBorders>
              <w:top w:val="nil"/>
              <w:left w:val="single" w:sz="3" w:space="0" w:color="000000"/>
              <w:bottom w:val="nil"/>
              <w:right w:val="nil"/>
            </w:tcBorders>
          </w:tcPr>
          <w:p w14:paraId="07499F10" w14:textId="77777777" w:rsidR="00541219" w:rsidRDefault="00541219">
            <w:pPr>
              <w:spacing w:after="160"/>
              <w:ind w:left="0" w:firstLine="0"/>
            </w:pPr>
          </w:p>
        </w:tc>
        <w:tc>
          <w:tcPr>
            <w:tcW w:w="0" w:type="auto"/>
            <w:vMerge/>
            <w:tcBorders>
              <w:top w:val="nil"/>
              <w:left w:val="nil"/>
              <w:bottom w:val="nil"/>
              <w:right w:val="nil"/>
            </w:tcBorders>
          </w:tcPr>
          <w:p w14:paraId="2E67CC54" w14:textId="77777777" w:rsidR="00541219" w:rsidRDefault="00541219">
            <w:pPr>
              <w:spacing w:after="160"/>
              <w:ind w:left="0" w:firstLine="0"/>
            </w:pPr>
          </w:p>
        </w:tc>
      </w:tr>
      <w:tr w:rsidR="00541219" w14:paraId="6082724F"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7FA30A43" w14:textId="77777777" w:rsidR="00541219" w:rsidRDefault="00000000">
            <w:pPr>
              <w:spacing w:after="0"/>
              <w:ind w:left="497" w:firstLine="0"/>
            </w:pPr>
            <w:r>
              <w:rPr>
                <w:sz w:val="8"/>
              </w:rPr>
              <w:t xml:space="preserve">     § 4o Na definição de tarifas, nos termos do inciso XIV, alíneas “d” e “e”, do caput, a Aneel deverá atuar de modo não discriminatório, com foco na eficiência e na maximização do benefício à modicidade tarifária, observadas a transparência, a participação social e a previsibilidade.</w:t>
            </w:r>
          </w:p>
        </w:tc>
        <w:tc>
          <w:tcPr>
            <w:tcW w:w="0" w:type="auto"/>
            <w:vMerge/>
            <w:tcBorders>
              <w:top w:val="nil"/>
              <w:left w:val="single" w:sz="3" w:space="0" w:color="000000"/>
              <w:bottom w:val="nil"/>
              <w:right w:val="nil"/>
            </w:tcBorders>
          </w:tcPr>
          <w:p w14:paraId="2CCD9DDC" w14:textId="77777777" w:rsidR="00541219" w:rsidRDefault="00541219">
            <w:pPr>
              <w:spacing w:after="160"/>
              <w:ind w:left="0" w:firstLine="0"/>
            </w:pPr>
          </w:p>
        </w:tc>
        <w:tc>
          <w:tcPr>
            <w:tcW w:w="0" w:type="auto"/>
            <w:vMerge/>
            <w:tcBorders>
              <w:top w:val="nil"/>
              <w:left w:val="nil"/>
              <w:bottom w:val="nil"/>
              <w:right w:val="nil"/>
            </w:tcBorders>
          </w:tcPr>
          <w:p w14:paraId="672DBB97" w14:textId="77777777" w:rsidR="00541219" w:rsidRDefault="00541219">
            <w:pPr>
              <w:spacing w:after="160"/>
              <w:ind w:left="0" w:firstLine="0"/>
            </w:pPr>
          </w:p>
        </w:tc>
      </w:tr>
      <w:tr w:rsidR="00541219" w14:paraId="1CD3F675"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07683478" w14:textId="77777777" w:rsidR="00541219" w:rsidRDefault="00000000">
            <w:pPr>
              <w:spacing w:after="0"/>
              <w:ind w:left="497" w:firstLine="0"/>
            </w:pPr>
            <w:r>
              <w:rPr>
                <w:sz w:val="8"/>
              </w:rPr>
              <w:t xml:space="preserve">     § 5o A Aneel deverá estabelecer vedações de condutas anticoncorrenciais para a implementação do exercício da opção de que tratam o art. 15 e o art. 16 da Lei nº 9.074, de 7 de julho de 1995, observado o disposto nos incisos XVI, XVII e XVIII do caput deste artigo, incluída a definição de prazos e de condições isonômicas para os usuários com processo de migração.</w:t>
            </w:r>
          </w:p>
        </w:tc>
        <w:tc>
          <w:tcPr>
            <w:tcW w:w="0" w:type="auto"/>
            <w:vMerge/>
            <w:tcBorders>
              <w:top w:val="nil"/>
              <w:left w:val="single" w:sz="3" w:space="0" w:color="000000"/>
              <w:bottom w:val="nil"/>
              <w:right w:val="nil"/>
            </w:tcBorders>
          </w:tcPr>
          <w:p w14:paraId="43B1850F" w14:textId="77777777" w:rsidR="00541219" w:rsidRDefault="00541219">
            <w:pPr>
              <w:spacing w:after="160"/>
              <w:ind w:left="0" w:firstLine="0"/>
            </w:pPr>
          </w:p>
        </w:tc>
        <w:tc>
          <w:tcPr>
            <w:tcW w:w="0" w:type="auto"/>
            <w:vMerge/>
            <w:tcBorders>
              <w:top w:val="nil"/>
              <w:left w:val="nil"/>
              <w:bottom w:val="nil"/>
              <w:right w:val="nil"/>
            </w:tcBorders>
          </w:tcPr>
          <w:p w14:paraId="0C4A6366" w14:textId="77777777" w:rsidR="00541219" w:rsidRDefault="00541219">
            <w:pPr>
              <w:spacing w:after="160"/>
              <w:ind w:left="0" w:firstLine="0"/>
            </w:pPr>
          </w:p>
        </w:tc>
      </w:tr>
      <w:tr w:rsidR="00541219" w14:paraId="67DAA81E"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0AA2950A" w14:textId="77777777" w:rsidR="00541219" w:rsidRDefault="00000000">
            <w:pPr>
              <w:spacing w:after="0"/>
              <w:ind w:left="497" w:right="14" w:firstLine="0"/>
            </w:pPr>
            <w:r>
              <w:rPr>
                <w:sz w:val="8"/>
              </w:rPr>
              <w:t xml:space="preserve">     Art. 5o A minuta do termo aditivo ao contrato de concessão deverá conter hipóteses de abertura de processo de caducidade em razão da não prestação de serviço adequado, estabelecendo, no mínimo:</w:t>
            </w:r>
          </w:p>
        </w:tc>
        <w:tc>
          <w:tcPr>
            <w:tcW w:w="0" w:type="auto"/>
            <w:vMerge/>
            <w:tcBorders>
              <w:top w:val="nil"/>
              <w:left w:val="single" w:sz="3" w:space="0" w:color="000000"/>
              <w:bottom w:val="nil"/>
              <w:right w:val="nil"/>
            </w:tcBorders>
          </w:tcPr>
          <w:p w14:paraId="1A3C4C65" w14:textId="77777777" w:rsidR="00541219" w:rsidRDefault="00541219">
            <w:pPr>
              <w:spacing w:after="160"/>
              <w:ind w:left="0" w:firstLine="0"/>
            </w:pPr>
          </w:p>
        </w:tc>
        <w:tc>
          <w:tcPr>
            <w:tcW w:w="0" w:type="auto"/>
            <w:vMerge/>
            <w:tcBorders>
              <w:top w:val="nil"/>
              <w:left w:val="nil"/>
              <w:bottom w:val="nil"/>
              <w:right w:val="nil"/>
            </w:tcBorders>
          </w:tcPr>
          <w:p w14:paraId="164B752B" w14:textId="77777777" w:rsidR="00541219" w:rsidRDefault="00541219">
            <w:pPr>
              <w:spacing w:after="160"/>
              <w:ind w:left="0" w:firstLine="0"/>
            </w:pPr>
          </w:p>
        </w:tc>
      </w:tr>
      <w:tr w:rsidR="00541219" w14:paraId="3D40AF12"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4A707B43" w14:textId="77777777" w:rsidR="00541219" w:rsidRDefault="00000000">
            <w:pPr>
              <w:spacing w:after="0"/>
              <w:ind w:left="994" w:firstLine="0"/>
            </w:pPr>
            <w:r>
              <w:rPr>
                <w:sz w:val="8"/>
              </w:rPr>
              <w:t xml:space="preserve">          I - </w:t>
            </w:r>
            <w:proofErr w:type="gramStart"/>
            <w:r>
              <w:rPr>
                <w:sz w:val="8"/>
              </w:rPr>
              <w:t>o</w:t>
            </w:r>
            <w:proofErr w:type="gramEnd"/>
            <w:r>
              <w:rPr>
                <w:sz w:val="8"/>
              </w:rPr>
              <w:t xml:space="preserve"> não atendimento do critério de continuidade do fornecimento, caracterizado pelos limites anuais globais dos indicadores de continuidade coletivos de frequência e de duração, de forma isolada ou conjuntamente, por dois anos </w:t>
            </w:r>
          </w:p>
        </w:tc>
        <w:tc>
          <w:tcPr>
            <w:tcW w:w="0" w:type="auto"/>
            <w:vMerge/>
            <w:tcBorders>
              <w:top w:val="nil"/>
              <w:left w:val="single" w:sz="3" w:space="0" w:color="000000"/>
              <w:bottom w:val="nil"/>
              <w:right w:val="nil"/>
            </w:tcBorders>
          </w:tcPr>
          <w:p w14:paraId="5835968D" w14:textId="77777777" w:rsidR="00541219" w:rsidRDefault="00541219">
            <w:pPr>
              <w:spacing w:after="160"/>
              <w:ind w:left="0" w:firstLine="0"/>
            </w:pPr>
          </w:p>
        </w:tc>
        <w:tc>
          <w:tcPr>
            <w:tcW w:w="0" w:type="auto"/>
            <w:vMerge/>
            <w:tcBorders>
              <w:top w:val="nil"/>
              <w:left w:val="nil"/>
              <w:bottom w:val="nil"/>
              <w:right w:val="nil"/>
            </w:tcBorders>
          </w:tcPr>
          <w:p w14:paraId="1ADD7791" w14:textId="77777777" w:rsidR="00541219" w:rsidRDefault="00541219">
            <w:pPr>
              <w:spacing w:after="160"/>
              <w:ind w:left="0" w:firstLine="0"/>
            </w:pPr>
          </w:p>
        </w:tc>
      </w:tr>
      <w:tr w:rsidR="00541219" w14:paraId="122F8EB1" w14:textId="77777777">
        <w:trPr>
          <w:trHeight w:val="110"/>
        </w:trPr>
        <w:tc>
          <w:tcPr>
            <w:tcW w:w="5344" w:type="dxa"/>
            <w:tcBorders>
              <w:top w:val="single" w:sz="3" w:space="0" w:color="000000"/>
              <w:left w:val="single" w:sz="3" w:space="0" w:color="000000"/>
              <w:bottom w:val="single" w:sz="3" w:space="0" w:color="000000"/>
              <w:right w:val="single" w:sz="3" w:space="0" w:color="000000"/>
            </w:tcBorders>
          </w:tcPr>
          <w:p w14:paraId="7589249F" w14:textId="77777777" w:rsidR="00541219" w:rsidRDefault="00000000">
            <w:pPr>
              <w:spacing w:after="0"/>
              <w:ind w:left="994" w:firstLine="0"/>
            </w:pPr>
            <w:r>
              <w:rPr>
                <w:sz w:val="8"/>
              </w:rPr>
              <w:t xml:space="preserve">          II - </w:t>
            </w:r>
            <w:proofErr w:type="gramStart"/>
            <w:r>
              <w:rPr>
                <w:sz w:val="8"/>
              </w:rPr>
              <w:t>o</w:t>
            </w:r>
            <w:proofErr w:type="gramEnd"/>
            <w:r>
              <w:rPr>
                <w:sz w:val="8"/>
              </w:rPr>
              <w:t xml:space="preserve"> não atendimento do critério de eficiência com relação à gestão econômico- financeira por dois anos </w:t>
            </w:r>
          </w:p>
        </w:tc>
        <w:tc>
          <w:tcPr>
            <w:tcW w:w="0" w:type="auto"/>
            <w:vMerge/>
            <w:tcBorders>
              <w:top w:val="nil"/>
              <w:left w:val="single" w:sz="3" w:space="0" w:color="000000"/>
              <w:bottom w:val="nil"/>
              <w:right w:val="nil"/>
            </w:tcBorders>
          </w:tcPr>
          <w:p w14:paraId="294ED4DC" w14:textId="77777777" w:rsidR="00541219" w:rsidRDefault="00541219">
            <w:pPr>
              <w:spacing w:after="160"/>
              <w:ind w:left="0" w:firstLine="0"/>
            </w:pPr>
          </w:p>
        </w:tc>
        <w:tc>
          <w:tcPr>
            <w:tcW w:w="0" w:type="auto"/>
            <w:vMerge/>
            <w:tcBorders>
              <w:top w:val="nil"/>
              <w:left w:val="nil"/>
              <w:bottom w:val="nil"/>
              <w:right w:val="nil"/>
            </w:tcBorders>
          </w:tcPr>
          <w:p w14:paraId="5048C161" w14:textId="77777777" w:rsidR="00541219" w:rsidRDefault="00541219">
            <w:pPr>
              <w:spacing w:after="160"/>
              <w:ind w:left="0" w:firstLine="0"/>
            </w:pPr>
          </w:p>
        </w:tc>
      </w:tr>
      <w:tr w:rsidR="00541219" w14:paraId="5CE12E46"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4581D7B8" w14:textId="77777777" w:rsidR="00541219" w:rsidRDefault="00000000">
            <w:pPr>
              <w:spacing w:after="0"/>
              <w:ind w:left="994" w:firstLine="0"/>
            </w:pPr>
            <w:r>
              <w:rPr>
                <w:sz w:val="8"/>
              </w:rPr>
              <w:t>consecutivos.</w:t>
            </w:r>
          </w:p>
          <w:p w14:paraId="213D8942" w14:textId="77777777" w:rsidR="00541219" w:rsidRDefault="00000000">
            <w:pPr>
              <w:spacing w:after="0"/>
              <w:ind w:left="497" w:right="24" w:firstLine="0"/>
            </w:pPr>
            <w:r>
              <w:rPr>
                <w:sz w:val="8"/>
              </w:rPr>
              <w:t xml:space="preserve">     § 1o A minuta do termo aditivo ao contrato de concessão deverá prever a possibilidade de a Aneel definir critérios adicionais ou requisitos mais restritivos que impliquem a abertura de processo de caducidade com vistas a propiciar que as concessionárias prestem o serviço público de distribuição de energia elétrica compatível com a realidade tecnológica, regulatória e comercial do setor elétrico durante toda a vigência do contrato de concessão.</w:t>
            </w:r>
          </w:p>
        </w:tc>
        <w:tc>
          <w:tcPr>
            <w:tcW w:w="0" w:type="auto"/>
            <w:vMerge/>
            <w:tcBorders>
              <w:top w:val="nil"/>
              <w:left w:val="single" w:sz="3" w:space="0" w:color="000000"/>
              <w:bottom w:val="nil"/>
              <w:right w:val="nil"/>
            </w:tcBorders>
          </w:tcPr>
          <w:p w14:paraId="50C77388" w14:textId="77777777" w:rsidR="00541219" w:rsidRDefault="00541219">
            <w:pPr>
              <w:spacing w:after="160"/>
              <w:ind w:left="0" w:firstLine="0"/>
            </w:pPr>
          </w:p>
        </w:tc>
        <w:tc>
          <w:tcPr>
            <w:tcW w:w="0" w:type="auto"/>
            <w:vMerge/>
            <w:tcBorders>
              <w:top w:val="nil"/>
              <w:left w:val="nil"/>
              <w:bottom w:val="nil"/>
              <w:right w:val="nil"/>
            </w:tcBorders>
          </w:tcPr>
          <w:p w14:paraId="0EA7F7FC" w14:textId="77777777" w:rsidR="00541219" w:rsidRDefault="00541219">
            <w:pPr>
              <w:spacing w:after="160"/>
              <w:ind w:left="0" w:firstLine="0"/>
            </w:pPr>
          </w:p>
        </w:tc>
      </w:tr>
      <w:tr w:rsidR="00541219" w14:paraId="17A47F4D"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45B92851" w14:textId="77777777" w:rsidR="00541219" w:rsidRDefault="00000000">
            <w:pPr>
              <w:spacing w:after="0"/>
              <w:ind w:left="497" w:firstLine="0"/>
            </w:pPr>
            <w:r>
              <w:rPr>
                <w:sz w:val="8"/>
              </w:rPr>
              <w:t xml:space="preserve">     § 2o A aplicação do disposto no § 1o deverá ser precedida de processo de consulta pública, elaboração de análise de impacto regulatório e carência mínima de três anos para início da vigência da apuração de qualquer critério adicional ou requisito mais restritivo que venha a ser definido pela Aneel.</w:t>
            </w:r>
          </w:p>
        </w:tc>
        <w:tc>
          <w:tcPr>
            <w:tcW w:w="0" w:type="auto"/>
            <w:vMerge/>
            <w:tcBorders>
              <w:top w:val="nil"/>
              <w:left w:val="single" w:sz="3" w:space="0" w:color="000000"/>
              <w:bottom w:val="nil"/>
              <w:right w:val="nil"/>
            </w:tcBorders>
          </w:tcPr>
          <w:p w14:paraId="6B4C930D" w14:textId="77777777" w:rsidR="00541219" w:rsidRDefault="00541219">
            <w:pPr>
              <w:spacing w:after="160"/>
              <w:ind w:left="0" w:firstLine="0"/>
            </w:pPr>
          </w:p>
        </w:tc>
        <w:tc>
          <w:tcPr>
            <w:tcW w:w="0" w:type="auto"/>
            <w:vMerge/>
            <w:tcBorders>
              <w:top w:val="nil"/>
              <w:left w:val="nil"/>
              <w:bottom w:val="nil"/>
              <w:right w:val="nil"/>
            </w:tcBorders>
          </w:tcPr>
          <w:p w14:paraId="73B23B94" w14:textId="77777777" w:rsidR="00541219" w:rsidRDefault="00541219">
            <w:pPr>
              <w:spacing w:after="160"/>
              <w:ind w:left="0" w:firstLine="0"/>
            </w:pPr>
          </w:p>
        </w:tc>
      </w:tr>
      <w:tr w:rsidR="00541219" w14:paraId="465F673F" w14:textId="77777777">
        <w:trPr>
          <w:trHeight w:val="110"/>
        </w:trPr>
        <w:tc>
          <w:tcPr>
            <w:tcW w:w="5344" w:type="dxa"/>
            <w:tcBorders>
              <w:top w:val="single" w:sz="3" w:space="0" w:color="000000"/>
              <w:left w:val="single" w:sz="3" w:space="0" w:color="000000"/>
              <w:bottom w:val="single" w:sz="3" w:space="0" w:color="000000"/>
              <w:right w:val="single" w:sz="3" w:space="0" w:color="000000"/>
            </w:tcBorders>
          </w:tcPr>
          <w:p w14:paraId="1CB45B0E" w14:textId="77777777" w:rsidR="00541219" w:rsidRDefault="00000000">
            <w:pPr>
              <w:spacing w:after="0"/>
              <w:ind w:left="497" w:firstLine="0"/>
            </w:pPr>
            <w:r>
              <w:rPr>
                <w:sz w:val="8"/>
              </w:rPr>
              <w:t xml:space="preserve">     § 3o O disposto neste artigo aplica-se inclusive para fins de antecipação dos efeitos da prorrogação de que trata o art. 10.</w:t>
            </w:r>
          </w:p>
        </w:tc>
        <w:tc>
          <w:tcPr>
            <w:tcW w:w="0" w:type="auto"/>
            <w:vMerge/>
            <w:tcBorders>
              <w:top w:val="nil"/>
              <w:left w:val="single" w:sz="3" w:space="0" w:color="000000"/>
              <w:bottom w:val="nil"/>
              <w:right w:val="nil"/>
            </w:tcBorders>
          </w:tcPr>
          <w:p w14:paraId="4E15F6C3" w14:textId="77777777" w:rsidR="00541219" w:rsidRDefault="00541219">
            <w:pPr>
              <w:spacing w:after="160"/>
              <w:ind w:left="0" w:firstLine="0"/>
            </w:pPr>
          </w:p>
        </w:tc>
        <w:tc>
          <w:tcPr>
            <w:tcW w:w="0" w:type="auto"/>
            <w:vMerge/>
            <w:tcBorders>
              <w:top w:val="nil"/>
              <w:left w:val="nil"/>
              <w:bottom w:val="nil"/>
              <w:right w:val="nil"/>
            </w:tcBorders>
          </w:tcPr>
          <w:p w14:paraId="3BA8660A" w14:textId="77777777" w:rsidR="00541219" w:rsidRDefault="00541219">
            <w:pPr>
              <w:spacing w:after="160"/>
              <w:ind w:left="0" w:firstLine="0"/>
            </w:pPr>
          </w:p>
        </w:tc>
      </w:tr>
      <w:tr w:rsidR="00541219" w14:paraId="6696F160" w14:textId="77777777">
        <w:trPr>
          <w:trHeight w:val="110"/>
        </w:trPr>
        <w:tc>
          <w:tcPr>
            <w:tcW w:w="5344" w:type="dxa"/>
            <w:tcBorders>
              <w:top w:val="single" w:sz="3" w:space="0" w:color="000000"/>
              <w:left w:val="single" w:sz="3" w:space="0" w:color="000000"/>
              <w:bottom w:val="single" w:sz="3" w:space="0" w:color="000000"/>
              <w:right w:val="single" w:sz="3" w:space="0" w:color="000000"/>
            </w:tcBorders>
          </w:tcPr>
          <w:p w14:paraId="5508BF04" w14:textId="77777777" w:rsidR="00541219" w:rsidRDefault="00000000">
            <w:pPr>
              <w:spacing w:after="0"/>
              <w:ind w:left="497" w:firstLine="0"/>
            </w:pPr>
            <w:r>
              <w:rPr>
                <w:sz w:val="8"/>
              </w:rPr>
              <w:t xml:space="preserve">     Art. 6o Como compromisso pela prorrogação das concessões, as concessionárias:</w:t>
            </w:r>
          </w:p>
        </w:tc>
        <w:tc>
          <w:tcPr>
            <w:tcW w:w="0" w:type="auto"/>
            <w:vMerge/>
            <w:tcBorders>
              <w:top w:val="nil"/>
              <w:left w:val="single" w:sz="3" w:space="0" w:color="000000"/>
              <w:bottom w:val="single" w:sz="3" w:space="0" w:color="000000"/>
              <w:right w:val="nil"/>
            </w:tcBorders>
          </w:tcPr>
          <w:p w14:paraId="4B94E235" w14:textId="77777777" w:rsidR="00541219" w:rsidRDefault="00541219">
            <w:pPr>
              <w:spacing w:after="160"/>
              <w:ind w:left="0" w:firstLine="0"/>
            </w:pPr>
          </w:p>
        </w:tc>
        <w:tc>
          <w:tcPr>
            <w:tcW w:w="0" w:type="auto"/>
            <w:vMerge/>
            <w:tcBorders>
              <w:top w:val="nil"/>
              <w:left w:val="nil"/>
              <w:bottom w:val="single" w:sz="3" w:space="0" w:color="000000"/>
              <w:right w:val="nil"/>
            </w:tcBorders>
          </w:tcPr>
          <w:p w14:paraId="29B6D85B" w14:textId="77777777" w:rsidR="00541219" w:rsidRDefault="00541219">
            <w:pPr>
              <w:spacing w:after="160"/>
              <w:ind w:left="0" w:firstLine="0"/>
            </w:pPr>
          </w:p>
        </w:tc>
      </w:tr>
      <w:tr w:rsidR="00541219" w14:paraId="06533E22" w14:textId="77777777">
        <w:trPr>
          <w:trHeight w:val="662"/>
        </w:trPr>
        <w:tc>
          <w:tcPr>
            <w:tcW w:w="5344" w:type="dxa"/>
            <w:tcBorders>
              <w:top w:val="single" w:sz="3" w:space="0" w:color="000000"/>
              <w:left w:val="single" w:sz="3" w:space="0" w:color="000000"/>
              <w:bottom w:val="single" w:sz="3" w:space="0" w:color="000000"/>
              <w:right w:val="single" w:sz="3" w:space="0" w:color="000000"/>
            </w:tcBorders>
            <w:vAlign w:val="center"/>
          </w:tcPr>
          <w:p w14:paraId="47B6D34E" w14:textId="77777777" w:rsidR="00541219" w:rsidRDefault="00000000">
            <w:pPr>
              <w:spacing w:after="0"/>
              <w:ind w:left="994" w:firstLine="0"/>
            </w:pPr>
            <w:r>
              <w:rPr>
                <w:sz w:val="8"/>
              </w:rPr>
              <w:t xml:space="preserve">          I - </w:t>
            </w:r>
            <w:proofErr w:type="gramStart"/>
            <w:r>
              <w:rPr>
                <w:sz w:val="8"/>
              </w:rPr>
              <w:t>não</w:t>
            </w:r>
            <w:proofErr w:type="gramEnd"/>
            <w:r>
              <w:rPr>
                <w:sz w:val="8"/>
              </w:rPr>
              <w:t xml:space="preserve"> serão ressarcidas pela eventual abertura ao ambiente competitivo da prestação de serviços inicialmente por elas prestados, com vistas a beneficiar o usuário com ampliação da concorrência no setor elétrico;</w:t>
            </w:r>
          </w:p>
        </w:tc>
        <w:tc>
          <w:tcPr>
            <w:tcW w:w="1229" w:type="dxa"/>
            <w:tcBorders>
              <w:top w:val="single" w:sz="3" w:space="0" w:color="000000"/>
              <w:left w:val="single" w:sz="3" w:space="0" w:color="000000"/>
              <w:bottom w:val="single" w:sz="3" w:space="0" w:color="000000"/>
              <w:right w:val="single" w:sz="3" w:space="0" w:color="000000"/>
            </w:tcBorders>
            <w:vAlign w:val="center"/>
          </w:tcPr>
          <w:p w14:paraId="4BD53299"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4D02FA90" w14:textId="1E4A1218" w:rsidR="00541219" w:rsidRDefault="00000000" w:rsidP="002308BA">
            <w:pPr>
              <w:spacing w:after="0"/>
              <w:ind w:left="5" w:firstLine="0"/>
              <w:jc w:val="both"/>
            </w:pPr>
            <w:r>
              <w:t>Qualquer modelo concorrencial deve ser implementado, contudo os custos da abertura de mercado não podem recair totalmente no consumidor cativo como ocorre atualmente</w:t>
            </w:r>
            <w:r w:rsidR="002308BA">
              <w:t>. A</w:t>
            </w:r>
            <w:r>
              <w:t>ntes de flexibilizar é necessário que sejam aprovados instrumentos regulatórios para que todos tenham iguais responsabilidades sobre os custos, seja o mercado cativo, seja o mercado livre.</w:t>
            </w:r>
          </w:p>
        </w:tc>
      </w:tr>
      <w:tr w:rsidR="00541219" w14:paraId="5684A893" w14:textId="77777777">
        <w:trPr>
          <w:trHeight w:val="442"/>
        </w:trPr>
        <w:tc>
          <w:tcPr>
            <w:tcW w:w="5344" w:type="dxa"/>
            <w:tcBorders>
              <w:top w:val="single" w:sz="3" w:space="0" w:color="000000"/>
              <w:left w:val="single" w:sz="3" w:space="0" w:color="000000"/>
              <w:bottom w:val="single" w:sz="3" w:space="0" w:color="000000"/>
              <w:right w:val="single" w:sz="3" w:space="0" w:color="000000"/>
            </w:tcBorders>
            <w:vAlign w:val="center"/>
          </w:tcPr>
          <w:p w14:paraId="42834D55" w14:textId="77777777" w:rsidR="00541219" w:rsidRDefault="00000000">
            <w:pPr>
              <w:spacing w:after="0"/>
              <w:ind w:left="994" w:firstLine="0"/>
            </w:pPr>
            <w:r>
              <w:rPr>
                <w:sz w:val="8"/>
              </w:rPr>
              <w:lastRenderedPageBreak/>
              <w:t xml:space="preserve">          II - </w:t>
            </w:r>
            <w:proofErr w:type="gramStart"/>
            <w:r>
              <w:rPr>
                <w:sz w:val="8"/>
              </w:rPr>
              <w:t>desenvolverão</w:t>
            </w:r>
            <w:proofErr w:type="gramEnd"/>
            <w:r>
              <w:rPr>
                <w:sz w:val="8"/>
              </w:rPr>
              <w:t xml:space="preserve"> ações para a redução da vulnerabilidade e para o aumento da resiliência das redes de distribuição frente a eventos climáticos, conforme regulação da Aneel;</w:t>
            </w:r>
          </w:p>
        </w:tc>
        <w:tc>
          <w:tcPr>
            <w:tcW w:w="1229" w:type="dxa"/>
            <w:tcBorders>
              <w:top w:val="single" w:sz="3" w:space="0" w:color="000000"/>
              <w:left w:val="single" w:sz="3" w:space="0" w:color="000000"/>
              <w:bottom w:val="single" w:sz="3" w:space="0" w:color="000000"/>
              <w:right w:val="single" w:sz="3" w:space="0" w:color="000000"/>
            </w:tcBorders>
            <w:vAlign w:val="center"/>
          </w:tcPr>
          <w:p w14:paraId="423A8B72"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5B047EE3" w14:textId="77777777" w:rsidR="00541219" w:rsidRDefault="00000000" w:rsidP="00733A86">
            <w:pPr>
              <w:spacing w:after="0"/>
              <w:ind w:left="5" w:firstLine="0"/>
              <w:jc w:val="both"/>
            </w:pPr>
            <w:r>
              <w:t>Os consumidores não estão dispostos a terem incluídos em suas faturas de energia os investimentos desnecessários. A melhoria da resiliência por vezes passa pelo aumento das despesas operacionais em manutenção preventiva, principalmente o manejo de árvores nas áreas urbanas e rural.</w:t>
            </w:r>
          </w:p>
        </w:tc>
      </w:tr>
      <w:tr w:rsidR="00541219" w14:paraId="1B49C86A" w14:textId="77777777">
        <w:trPr>
          <w:trHeight w:val="442"/>
        </w:trPr>
        <w:tc>
          <w:tcPr>
            <w:tcW w:w="5344" w:type="dxa"/>
            <w:tcBorders>
              <w:top w:val="single" w:sz="3" w:space="0" w:color="000000"/>
              <w:left w:val="single" w:sz="3" w:space="0" w:color="000000"/>
              <w:bottom w:val="single" w:sz="3" w:space="0" w:color="000000"/>
              <w:right w:val="single" w:sz="3" w:space="0" w:color="000000"/>
            </w:tcBorders>
            <w:vAlign w:val="center"/>
          </w:tcPr>
          <w:p w14:paraId="3A43EEA3" w14:textId="77777777" w:rsidR="00541219" w:rsidRDefault="00000000">
            <w:pPr>
              <w:spacing w:after="0"/>
              <w:ind w:left="994" w:firstLine="0"/>
            </w:pPr>
            <w:r>
              <w:rPr>
                <w:sz w:val="8"/>
              </w:rPr>
              <w:t xml:space="preserve">          III - desenvolverão ações para robustecer o nível de atendimento do serviço de eletricidade das áreas rurais, especialmente nas regiões com potencial para o agronegócio e a agricultura familiar, conforme regulação da Aneel; e</w:t>
            </w:r>
          </w:p>
        </w:tc>
        <w:tc>
          <w:tcPr>
            <w:tcW w:w="1229" w:type="dxa"/>
            <w:tcBorders>
              <w:top w:val="single" w:sz="3" w:space="0" w:color="000000"/>
              <w:left w:val="single" w:sz="3" w:space="0" w:color="000000"/>
              <w:bottom w:val="single" w:sz="3" w:space="0" w:color="000000"/>
              <w:right w:val="single" w:sz="3" w:space="0" w:color="000000"/>
            </w:tcBorders>
            <w:vAlign w:val="center"/>
          </w:tcPr>
          <w:p w14:paraId="5B26B7E2"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77693CAE" w14:textId="77777777" w:rsidR="00541219" w:rsidRDefault="00000000" w:rsidP="00733A86">
            <w:pPr>
              <w:spacing w:after="0"/>
              <w:ind w:left="5" w:firstLine="0"/>
              <w:jc w:val="both"/>
            </w:pPr>
            <w:r>
              <w:t>O reforço de extensas áreas rurais, dependendo da concessão, poderá impactar significativamente a tarifa de todos os consumidores, por isso, análise de custo-benefício priorizado adequações com crescimento de mercado é fundamental.</w:t>
            </w:r>
          </w:p>
        </w:tc>
      </w:tr>
      <w:tr w:rsidR="00541219" w14:paraId="3FEAD3B2" w14:textId="77777777">
        <w:trPr>
          <w:trHeight w:val="773"/>
        </w:trPr>
        <w:tc>
          <w:tcPr>
            <w:tcW w:w="5344" w:type="dxa"/>
            <w:tcBorders>
              <w:top w:val="single" w:sz="3" w:space="0" w:color="000000"/>
              <w:left w:val="single" w:sz="3" w:space="0" w:color="000000"/>
              <w:bottom w:val="single" w:sz="3" w:space="0" w:color="000000"/>
              <w:right w:val="single" w:sz="3" w:space="0" w:color="000000"/>
            </w:tcBorders>
            <w:vAlign w:val="center"/>
          </w:tcPr>
          <w:p w14:paraId="789A3EE1" w14:textId="77777777" w:rsidR="00541219" w:rsidRDefault="00000000">
            <w:pPr>
              <w:spacing w:after="0"/>
              <w:ind w:left="994" w:firstLine="0"/>
            </w:pPr>
            <w:r>
              <w:rPr>
                <w:sz w:val="8"/>
              </w:rPr>
              <w:t xml:space="preserve">          IV - desenvolverão ações que promovam a inclusão energética, a redução de perdas não técnicas, </w:t>
            </w:r>
            <w:proofErr w:type="gramStart"/>
            <w:r>
              <w:rPr>
                <w:sz w:val="8"/>
              </w:rPr>
              <w:t>a  regularização</w:t>
            </w:r>
            <w:proofErr w:type="gramEnd"/>
            <w:r>
              <w:rPr>
                <w:sz w:val="8"/>
              </w:rPr>
              <w:t xml:space="preserve"> da prestação do serviço público em áreas de vulnerabilidade socioeconômica e o desenvolvimento tecnológico para a redução da pobreza energética, conforme diretriz do Ministério de Minas e Energia.</w:t>
            </w:r>
          </w:p>
        </w:tc>
        <w:tc>
          <w:tcPr>
            <w:tcW w:w="1229" w:type="dxa"/>
            <w:tcBorders>
              <w:top w:val="single" w:sz="3" w:space="0" w:color="000000"/>
              <w:left w:val="single" w:sz="3" w:space="0" w:color="000000"/>
              <w:bottom w:val="single" w:sz="3" w:space="0" w:color="000000"/>
              <w:right w:val="single" w:sz="3" w:space="0" w:color="000000"/>
            </w:tcBorders>
            <w:vAlign w:val="center"/>
          </w:tcPr>
          <w:p w14:paraId="506B3CAB"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3D033A92" w14:textId="77777777" w:rsidR="00541219" w:rsidRDefault="00000000" w:rsidP="00733A86">
            <w:pPr>
              <w:spacing w:after="0"/>
              <w:ind w:left="5" w:right="7" w:firstLine="0"/>
              <w:jc w:val="both"/>
            </w:pPr>
            <w:r>
              <w:t>A redução de pobreza energética também é uma questão que deve ser dividida entre todos os consumidores cativos e livre e com o poder público. O tema não pode incidir apenas sobre o consumidor regulado de baixa tensão. Também na questão de combate a Perdas Não Técnicas e Inadimplência os custos não podem recair exclusivamente sobre o mercado cativo de baixa tesão, devem ser divididos com todos os consumidores, sejam do Grupo A, sejam do Grupo B.</w:t>
            </w:r>
          </w:p>
        </w:tc>
      </w:tr>
      <w:tr w:rsidR="00541219" w14:paraId="4740A7F8"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2EC839A5" w14:textId="77777777" w:rsidR="00541219" w:rsidRDefault="00000000">
            <w:pPr>
              <w:spacing w:after="0"/>
              <w:ind w:left="497" w:right="24" w:firstLine="0"/>
            </w:pPr>
            <w:r>
              <w:rPr>
                <w:sz w:val="8"/>
              </w:rPr>
              <w:t xml:space="preserve">          § 1o Os compromissos de que trata o caput serão realizados durante todo o período de vigência contratual, a partir da assinatura do termo aditivo ao contrato de concessão, com planos de investimentos estabelecidos para cada ciclo tarifário e acompanhamento pela Aneel.</w:t>
            </w:r>
          </w:p>
        </w:tc>
        <w:tc>
          <w:tcPr>
            <w:tcW w:w="1229" w:type="dxa"/>
            <w:tcBorders>
              <w:top w:val="single" w:sz="3" w:space="0" w:color="000000"/>
              <w:left w:val="single" w:sz="3" w:space="0" w:color="000000"/>
              <w:bottom w:val="single" w:sz="3" w:space="0" w:color="000000"/>
              <w:right w:val="nil"/>
            </w:tcBorders>
          </w:tcPr>
          <w:p w14:paraId="52582A95" w14:textId="77777777" w:rsidR="00541219" w:rsidRDefault="00541219">
            <w:pPr>
              <w:spacing w:after="160"/>
              <w:ind w:left="0" w:firstLine="0"/>
            </w:pPr>
          </w:p>
        </w:tc>
        <w:tc>
          <w:tcPr>
            <w:tcW w:w="3691" w:type="dxa"/>
            <w:tcBorders>
              <w:top w:val="single" w:sz="3" w:space="0" w:color="000000"/>
              <w:left w:val="nil"/>
              <w:bottom w:val="single" w:sz="3" w:space="0" w:color="000000"/>
              <w:right w:val="nil"/>
            </w:tcBorders>
          </w:tcPr>
          <w:p w14:paraId="1B668673" w14:textId="77777777" w:rsidR="00541219" w:rsidRDefault="00541219">
            <w:pPr>
              <w:spacing w:after="160"/>
              <w:ind w:left="0" w:firstLine="0"/>
            </w:pPr>
          </w:p>
        </w:tc>
      </w:tr>
      <w:tr w:rsidR="00541219" w14:paraId="5FD22587" w14:textId="77777777">
        <w:trPr>
          <w:trHeight w:val="773"/>
        </w:trPr>
        <w:tc>
          <w:tcPr>
            <w:tcW w:w="5344" w:type="dxa"/>
            <w:tcBorders>
              <w:top w:val="single" w:sz="3" w:space="0" w:color="000000"/>
              <w:left w:val="single" w:sz="3" w:space="0" w:color="000000"/>
              <w:bottom w:val="single" w:sz="3" w:space="0" w:color="000000"/>
              <w:right w:val="single" w:sz="3" w:space="0" w:color="000000"/>
            </w:tcBorders>
            <w:vAlign w:val="center"/>
          </w:tcPr>
          <w:p w14:paraId="1678A5CB" w14:textId="77777777" w:rsidR="00541219" w:rsidRDefault="00000000">
            <w:pPr>
              <w:spacing w:after="0"/>
              <w:ind w:left="497" w:firstLine="0"/>
            </w:pPr>
            <w:r>
              <w:rPr>
                <w:sz w:val="8"/>
              </w:rPr>
              <w:t xml:space="preserve">          § 2o Os recursos para os investimentos de que tratam os incisos III e IV do caput advirão das receitas acessórias próprias e complementares e dos valores arrecadados referentes à ultrapassagem da demanda e ao excedente de reativos das concessionárias e poderão ser complementados por políticas públicas específicas estabelecidas para o mesmo fim.</w:t>
            </w:r>
          </w:p>
        </w:tc>
        <w:tc>
          <w:tcPr>
            <w:tcW w:w="1229" w:type="dxa"/>
            <w:tcBorders>
              <w:top w:val="single" w:sz="3" w:space="0" w:color="000000"/>
              <w:left w:val="single" w:sz="3" w:space="0" w:color="000000"/>
              <w:bottom w:val="single" w:sz="3" w:space="0" w:color="000000"/>
              <w:right w:val="single" w:sz="3" w:space="0" w:color="000000"/>
            </w:tcBorders>
            <w:vAlign w:val="center"/>
          </w:tcPr>
          <w:p w14:paraId="2D7D2846"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357EE2DE" w14:textId="77777777" w:rsidR="00541219" w:rsidRDefault="00000000" w:rsidP="00733A86">
            <w:pPr>
              <w:spacing w:after="0"/>
              <w:ind w:left="5" w:firstLine="0"/>
              <w:jc w:val="both"/>
            </w:pPr>
            <w:r>
              <w:t>A redução de pobreza energética também é uma questão de política pública, devendo, portanto, ser responsabilidade do poder público. O tema não pode incidir apenas sobre o consumidor regulado de baixa tensão. Também na questão de combate a Perdas Não Técnicas e Inadimplência os custos não podem recair exclusivamente sobre o mercado cativo de baixa tesão, devem ser divididos com todos os consumidores, sejam do Grupo A, sejam do Grupo B.</w:t>
            </w:r>
          </w:p>
        </w:tc>
      </w:tr>
      <w:tr w:rsidR="00541219" w14:paraId="1A05BABF"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1BF6A5CE" w14:textId="77777777" w:rsidR="00541219" w:rsidRDefault="00000000">
            <w:pPr>
              <w:spacing w:after="0"/>
              <w:ind w:left="0" w:right="144" w:firstLine="0"/>
              <w:jc w:val="both"/>
            </w:pPr>
            <w:r>
              <w:rPr>
                <w:sz w:val="8"/>
              </w:rPr>
              <w:t>10. A nova minuta do termo aditivo ao contrato de concessão foi elaborada considerando como texto base a minuta aprovada por meio do Despacho nº 3.540, de 20 de outubro de 2015, que tratou da prorrogação das concessões de Distribuição nos termos do Decreto nº 8.461/2015, incorporando as diretrizes dispostas no Decreto nº 12.068/2024 e aprimoramentos decorrentes da análise das unidades organizacionais da ANEEL.</w:t>
            </w:r>
          </w:p>
        </w:tc>
        <w:tc>
          <w:tcPr>
            <w:tcW w:w="4920" w:type="dxa"/>
            <w:gridSpan w:val="2"/>
            <w:tcBorders>
              <w:top w:val="single" w:sz="3" w:space="0" w:color="000000"/>
              <w:left w:val="single" w:sz="3" w:space="0" w:color="000000"/>
              <w:bottom w:val="nil"/>
              <w:right w:val="nil"/>
            </w:tcBorders>
          </w:tcPr>
          <w:p w14:paraId="604389AE" w14:textId="77777777" w:rsidR="00541219" w:rsidRDefault="00541219">
            <w:pPr>
              <w:spacing w:after="160"/>
              <w:ind w:left="0" w:firstLine="0"/>
            </w:pPr>
          </w:p>
        </w:tc>
      </w:tr>
    </w:tbl>
    <w:p w14:paraId="68D9DF64" w14:textId="77777777" w:rsidR="00541219" w:rsidRDefault="00541219">
      <w:pPr>
        <w:spacing w:after="0"/>
        <w:ind w:left="-1440" w:right="8609" w:firstLine="0"/>
      </w:pPr>
    </w:p>
    <w:tbl>
      <w:tblPr>
        <w:tblStyle w:val="TableGrid"/>
        <w:tblW w:w="10264" w:type="dxa"/>
        <w:tblInd w:w="-688" w:type="dxa"/>
        <w:tblCellMar>
          <w:top w:w="0" w:type="dxa"/>
          <w:left w:w="19" w:type="dxa"/>
          <w:bottom w:w="0" w:type="dxa"/>
          <w:right w:w="24" w:type="dxa"/>
        </w:tblCellMar>
        <w:tblLook w:val="04A0" w:firstRow="1" w:lastRow="0" w:firstColumn="1" w:lastColumn="0" w:noHBand="0" w:noVBand="1"/>
      </w:tblPr>
      <w:tblGrid>
        <w:gridCol w:w="5344"/>
        <w:gridCol w:w="1229"/>
        <w:gridCol w:w="3691"/>
      </w:tblGrid>
      <w:tr w:rsidR="00541219" w14:paraId="26AF3560" w14:textId="77777777">
        <w:trPr>
          <w:trHeight w:val="150"/>
        </w:trPr>
        <w:tc>
          <w:tcPr>
            <w:tcW w:w="10264" w:type="dxa"/>
            <w:gridSpan w:val="3"/>
            <w:tcBorders>
              <w:top w:val="single" w:sz="6" w:space="0" w:color="000000"/>
              <w:left w:val="single" w:sz="6" w:space="0" w:color="000000"/>
              <w:bottom w:val="single" w:sz="3" w:space="0" w:color="000000"/>
              <w:right w:val="single" w:sz="6" w:space="0" w:color="000000"/>
            </w:tcBorders>
          </w:tcPr>
          <w:p w14:paraId="095BED67" w14:textId="77777777" w:rsidR="00541219" w:rsidRDefault="00000000">
            <w:pPr>
              <w:spacing w:after="0"/>
              <w:ind w:left="20" w:firstLine="0"/>
              <w:jc w:val="center"/>
            </w:pPr>
            <w:r>
              <w:rPr>
                <w:color w:val="0000FF"/>
                <w:sz w:val="12"/>
              </w:rPr>
              <w:t>CONTRIBUIÇÃO REFERENTE À CONSULTA PÚBLICA Nº 27/2024</w:t>
            </w:r>
          </w:p>
        </w:tc>
      </w:tr>
      <w:tr w:rsidR="00541219" w14:paraId="438FA830" w14:textId="77777777">
        <w:trPr>
          <w:trHeight w:val="149"/>
        </w:trPr>
        <w:tc>
          <w:tcPr>
            <w:tcW w:w="10264" w:type="dxa"/>
            <w:gridSpan w:val="3"/>
            <w:tcBorders>
              <w:top w:val="single" w:sz="3" w:space="0" w:color="000000"/>
              <w:left w:val="single" w:sz="6" w:space="0" w:color="000000"/>
              <w:bottom w:val="single" w:sz="3" w:space="0" w:color="000000"/>
              <w:right w:val="single" w:sz="6" w:space="0" w:color="000000"/>
            </w:tcBorders>
          </w:tcPr>
          <w:p w14:paraId="2A9F7D1E" w14:textId="77777777" w:rsidR="00541219" w:rsidRDefault="00000000">
            <w:pPr>
              <w:spacing w:after="0"/>
              <w:ind w:left="8" w:firstLine="0"/>
              <w:jc w:val="center"/>
            </w:pPr>
            <w:r>
              <w:rPr>
                <w:color w:val="0000FF"/>
                <w:sz w:val="12"/>
              </w:rPr>
              <w:t>NOME DA INSTITUIÇÃO: CONCEN Conselho de Consumidores da Energisa Mato Grosso do Sul</w:t>
            </w:r>
          </w:p>
        </w:tc>
      </w:tr>
      <w:tr w:rsidR="00541219" w14:paraId="5CF4268D" w14:textId="77777777">
        <w:trPr>
          <w:trHeight w:val="149"/>
        </w:trPr>
        <w:tc>
          <w:tcPr>
            <w:tcW w:w="10264" w:type="dxa"/>
            <w:gridSpan w:val="3"/>
            <w:tcBorders>
              <w:top w:val="single" w:sz="3" w:space="0" w:color="000000"/>
              <w:left w:val="single" w:sz="6" w:space="0" w:color="000000"/>
              <w:bottom w:val="single" w:sz="3" w:space="0" w:color="000000"/>
              <w:right w:val="single" w:sz="6" w:space="0" w:color="000000"/>
            </w:tcBorders>
          </w:tcPr>
          <w:p w14:paraId="79340D6E" w14:textId="77777777" w:rsidR="00541219" w:rsidRDefault="00000000">
            <w:pPr>
              <w:tabs>
                <w:tab w:val="center" w:pos="626"/>
                <w:tab w:val="center" w:pos="5122"/>
              </w:tabs>
              <w:spacing w:after="0"/>
              <w:ind w:left="0" w:firstLine="0"/>
            </w:pPr>
            <w:r>
              <w:rPr>
                <w:rFonts w:ascii="Calibri" w:eastAsia="Calibri" w:hAnsi="Calibri" w:cs="Calibri"/>
                <w:sz w:val="22"/>
              </w:rPr>
              <w:tab/>
            </w:r>
            <w:r>
              <w:rPr>
                <w:noProof/>
              </w:rPr>
              <w:drawing>
                <wp:inline distT="0" distB="0" distL="0" distR="0" wp14:anchorId="5643F21B" wp14:editId="07ABD8A5">
                  <wp:extent cx="585216" cy="362712"/>
                  <wp:effectExtent l="0" t="0" r="0" b="0"/>
                  <wp:docPr id="765" name="Picture 765"/>
                  <wp:cNvGraphicFramePr/>
                  <a:graphic xmlns:a="http://schemas.openxmlformats.org/drawingml/2006/main">
                    <a:graphicData uri="http://schemas.openxmlformats.org/drawingml/2006/picture">
                      <pic:pic xmlns:pic="http://schemas.openxmlformats.org/drawingml/2006/picture">
                        <pic:nvPicPr>
                          <pic:cNvPr id="765" name="Picture 765"/>
                          <pic:cNvPicPr/>
                        </pic:nvPicPr>
                        <pic:blipFill>
                          <a:blip r:embed="rId5"/>
                          <a:stretch>
                            <a:fillRect/>
                          </a:stretch>
                        </pic:blipFill>
                        <pic:spPr>
                          <a:xfrm>
                            <a:off x="0" y="0"/>
                            <a:ext cx="585216" cy="362712"/>
                          </a:xfrm>
                          <a:prstGeom prst="rect">
                            <a:avLst/>
                          </a:prstGeom>
                        </pic:spPr>
                      </pic:pic>
                    </a:graphicData>
                  </a:graphic>
                </wp:inline>
              </w:drawing>
            </w:r>
            <w:r>
              <w:rPr>
                <w:color w:val="0000FF"/>
                <w:sz w:val="12"/>
              </w:rPr>
              <w:tab/>
              <w:t>AGÊNCIA NACIONAL DE ENERGIA ELÉTRICA – ANEEL</w:t>
            </w:r>
          </w:p>
        </w:tc>
      </w:tr>
      <w:tr w:rsidR="00541219" w14:paraId="1985A42C" w14:textId="77777777">
        <w:trPr>
          <w:trHeight w:val="178"/>
        </w:trPr>
        <w:tc>
          <w:tcPr>
            <w:tcW w:w="10264" w:type="dxa"/>
            <w:gridSpan w:val="3"/>
            <w:tcBorders>
              <w:top w:val="single" w:sz="3" w:space="0" w:color="000000"/>
              <w:left w:val="single" w:sz="6" w:space="0" w:color="000000"/>
              <w:bottom w:val="single" w:sz="3" w:space="0" w:color="000000"/>
              <w:right w:val="single" w:sz="6" w:space="0" w:color="000000"/>
            </w:tcBorders>
          </w:tcPr>
          <w:p w14:paraId="1D77D727" w14:textId="77777777" w:rsidR="00541219" w:rsidRDefault="00000000">
            <w:pPr>
              <w:spacing w:after="0"/>
              <w:ind w:left="18" w:firstLine="0"/>
              <w:jc w:val="center"/>
            </w:pPr>
            <w:r>
              <w:rPr>
                <w:color w:val="0000FF"/>
              </w:rPr>
              <w:t>NOTA TÉCNICA nº 1.056/2024-SCE-SFF-SFT-SMA-STE-STD-STR/ANEEL de 09 de outubro de 2024.</w:t>
            </w:r>
          </w:p>
        </w:tc>
      </w:tr>
      <w:tr w:rsidR="00541219" w14:paraId="62D38F08" w14:textId="77777777">
        <w:trPr>
          <w:trHeight w:val="194"/>
        </w:trPr>
        <w:tc>
          <w:tcPr>
            <w:tcW w:w="10264" w:type="dxa"/>
            <w:gridSpan w:val="3"/>
            <w:tcBorders>
              <w:top w:val="single" w:sz="3" w:space="0" w:color="000000"/>
              <w:left w:val="single" w:sz="6" w:space="0" w:color="000000"/>
              <w:bottom w:val="single" w:sz="3" w:space="0" w:color="000000"/>
              <w:right w:val="single" w:sz="6" w:space="0" w:color="000000"/>
            </w:tcBorders>
          </w:tcPr>
          <w:p w14:paraId="36F7FDE2" w14:textId="77777777" w:rsidR="00541219" w:rsidRDefault="00000000">
            <w:pPr>
              <w:spacing w:after="0"/>
              <w:ind w:left="6" w:firstLine="0"/>
              <w:jc w:val="center"/>
            </w:pPr>
            <w:r>
              <w:rPr>
                <w:color w:val="0000FF"/>
              </w:rPr>
              <w:t xml:space="preserve">                                                               EMENTA: Obter subsídios para o aprimoramento da minuta de termo aditivo ao contrato de concessão de distribuição de energia elétrica com vistas à prorrogação das concessões.</w:t>
            </w:r>
          </w:p>
        </w:tc>
      </w:tr>
      <w:tr w:rsidR="00541219" w14:paraId="00E1FB3B" w14:textId="77777777">
        <w:trPr>
          <w:trHeight w:val="132"/>
        </w:trPr>
        <w:tc>
          <w:tcPr>
            <w:tcW w:w="10264" w:type="dxa"/>
            <w:gridSpan w:val="3"/>
            <w:tcBorders>
              <w:top w:val="single" w:sz="3" w:space="0" w:color="000000"/>
              <w:left w:val="single" w:sz="6" w:space="0" w:color="000000"/>
              <w:bottom w:val="single" w:sz="3" w:space="0" w:color="000000"/>
              <w:right w:val="single" w:sz="6" w:space="0" w:color="000000"/>
            </w:tcBorders>
          </w:tcPr>
          <w:p w14:paraId="69230E21" w14:textId="77777777" w:rsidR="00541219" w:rsidRDefault="00000000">
            <w:pPr>
              <w:spacing w:after="0"/>
              <w:ind w:left="6" w:firstLine="0"/>
              <w:jc w:val="center"/>
            </w:pPr>
            <w:r>
              <w:rPr>
                <w:color w:val="0000FF"/>
                <w:sz w:val="11"/>
              </w:rPr>
              <w:t>CONTRIBUIÇÕES RECEBIDAS</w:t>
            </w:r>
          </w:p>
        </w:tc>
      </w:tr>
      <w:tr w:rsidR="00541219" w14:paraId="73529943" w14:textId="77777777">
        <w:trPr>
          <w:trHeight w:val="275"/>
        </w:trPr>
        <w:tc>
          <w:tcPr>
            <w:tcW w:w="10264" w:type="dxa"/>
            <w:gridSpan w:val="3"/>
            <w:tcBorders>
              <w:top w:val="single" w:sz="3" w:space="0" w:color="000000"/>
              <w:left w:val="single" w:sz="6" w:space="0" w:color="000000"/>
              <w:bottom w:val="single" w:sz="6" w:space="0" w:color="000000"/>
              <w:right w:val="single" w:sz="6" w:space="0" w:color="000000"/>
            </w:tcBorders>
          </w:tcPr>
          <w:p w14:paraId="786FC7D8" w14:textId="77777777" w:rsidR="00541219" w:rsidRDefault="00000000">
            <w:pPr>
              <w:spacing w:after="0"/>
              <w:ind w:left="0" w:firstLine="0"/>
            </w:pPr>
            <w:r>
              <w:t>IMPORTANTE: Os comentários e sugestões referentes às contribuições deverão ser fundamentados e justificados, mencionando-se os artigos, parágrafos e incisos a que se referem, devendo ser acompanhados de textos alternativos e substitutivos quando envolverem sugestões de inclusão ou alteração, parcial ou total, de qualquer dispositivo.</w:t>
            </w:r>
          </w:p>
        </w:tc>
      </w:tr>
      <w:tr w:rsidR="00541219" w14:paraId="732B736C" w14:textId="77777777">
        <w:trPr>
          <w:trHeight w:val="213"/>
        </w:trPr>
        <w:tc>
          <w:tcPr>
            <w:tcW w:w="5344" w:type="dxa"/>
            <w:tcBorders>
              <w:top w:val="single" w:sz="6" w:space="0" w:color="000000"/>
              <w:left w:val="single" w:sz="6" w:space="0" w:color="000000"/>
              <w:bottom w:val="double" w:sz="4" w:space="0" w:color="000000"/>
              <w:right w:val="single" w:sz="6" w:space="0" w:color="000000"/>
            </w:tcBorders>
            <w:shd w:val="clear" w:color="auto" w:fill="FF0000"/>
          </w:tcPr>
          <w:p w14:paraId="42CE8505" w14:textId="77777777" w:rsidR="00541219" w:rsidRDefault="00000000">
            <w:pPr>
              <w:spacing w:after="0"/>
              <w:ind w:left="7" w:firstLine="0"/>
              <w:jc w:val="center"/>
            </w:pPr>
            <w:r>
              <w:rPr>
                <w:color w:val="FFFFFF"/>
                <w:sz w:val="11"/>
              </w:rPr>
              <w:t xml:space="preserve">TEXTO/ANEEL </w:t>
            </w:r>
          </w:p>
        </w:tc>
        <w:tc>
          <w:tcPr>
            <w:tcW w:w="1229" w:type="dxa"/>
            <w:tcBorders>
              <w:top w:val="single" w:sz="6" w:space="0" w:color="000000"/>
              <w:left w:val="single" w:sz="6" w:space="0" w:color="000000"/>
              <w:bottom w:val="single" w:sz="6" w:space="0" w:color="000000"/>
              <w:right w:val="single" w:sz="6" w:space="0" w:color="000000"/>
            </w:tcBorders>
            <w:shd w:val="clear" w:color="auto" w:fill="FF0000"/>
          </w:tcPr>
          <w:p w14:paraId="07D1D707" w14:textId="77777777" w:rsidR="00541219" w:rsidRDefault="00000000">
            <w:pPr>
              <w:spacing w:after="0"/>
              <w:ind w:left="70" w:firstLine="0"/>
            </w:pPr>
            <w:r>
              <w:rPr>
                <w:color w:val="FFFFFF"/>
                <w:sz w:val="11"/>
              </w:rPr>
              <w:t>TEXTO/INSTITUIÇÃO</w:t>
            </w:r>
          </w:p>
        </w:tc>
        <w:tc>
          <w:tcPr>
            <w:tcW w:w="3691" w:type="dxa"/>
            <w:tcBorders>
              <w:top w:val="single" w:sz="6" w:space="0" w:color="000000"/>
              <w:left w:val="single" w:sz="6" w:space="0" w:color="000000"/>
              <w:bottom w:val="single" w:sz="6" w:space="0" w:color="000000"/>
              <w:right w:val="single" w:sz="6" w:space="0" w:color="000000"/>
            </w:tcBorders>
            <w:shd w:val="clear" w:color="auto" w:fill="FF0000"/>
          </w:tcPr>
          <w:p w14:paraId="1832E297" w14:textId="77777777" w:rsidR="00541219" w:rsidRDefault="00000000">
            <w:pPr>
              <w:spacing w:after="0"/>
              <w:ind w:left="25" w:firstLine="0"/>
              <w:jc w:val="center"/>
            </w:pPr>
            <w:r>
              <w:rPr>
                <w:color w:val="FFFFFF"/>
                <w:sz w:val="11"/>
              </w:rPr>
              <w:t>JUSTIFICATIVA/INSTITUIÇÃO</w:t>
            </w:r>
          </w:p>
        </w:tc>
      </w:tr>
      <w:tr w:rsidR="00541219" w14:paraId="5092D8CA" w14:textId="77777777">
        <w:trPr>
          <w:trHeight w:val="388"/>
        </w:trPr>
        <w:tc>
          <w:tcPr>
            <w:tcW w:w="5344" w:type="dxa"/>
            <w:tcBorders>
              <w:top w:val="double" w:sz="4" w:space="0" w:color="000000"/>
              <w:left w:val="single" w:sz="3" w:space="0" w:color="000000"/>
              <w:bottom w:val="single" w:sz="3" w:space="0" w:color="000000"/>
              <w:right w:val="single" w:sz="3" w:space="0" w:color="000000"/>
            </w:tcBorders>
          </w:tcPr>
          <w:p w14:paraId="64F7FBC1" w14:textId="77777777" w:rsidR="00541219" w:rsidRDefault="00000000">
            <w:pPr>
              <w:spacing w:after="0"/>
              <w:ind w:left="0" w:firstLine="0"/>
            </w:pPr>
            <w:r>
              <w:rPr>
                <w:sz w:val="8"/>
              </w:rPr>
              <w:t>11. Observa-se que parte significativa das alterações feitas no texto base do termo aditivo apenas reproduz os dispositivos do Decreto nº 12.068/2024, ainda que com pequenos aprimoramentos textuais, mas sem mudança de mérito. Essas alterações não serão detalhadas nesta Nota Técnica, e podem ser visualizadas no Anexo I, que também contém uma análise inicial das áreas técnicas sobre a regulação de cada tema e os processos relacionados.</w:t>
            </w:r>
          </w:p>
        </w:tc>
        <w:tc>
          <w:tcPr>
            <w:tcW w:w="4920" w:type="dxa"/>
            <w:gridSpan w:val="2"/>
            <w:vMerge w:val="restart"/>
            <w:tcBorders>
              <w:top w:val="single" w:sz="6" w:space="0" w:color="000000"/>
              <w:left w:val="single" w:sz="3" w:space="0" w:color="000000"/>
              <w:bottom w:val="single" w:sz="3" w:space="0" w:color="000000"/>
              <w:right w:val="nil"/>
            </w:tcBorders>
          </w:tcPr>
          <w:p w14:paraId="18820F54" w14:textId="77777777" w:rsidR="00541219" w:rsidRDefault="00541219">
            <w:pPr>
              <w:spacing w:after="160"/>
              <w:ind w:left="0" w:firstLine="0"/>
            </w:pPr>
          </w:p>
        </w:tc>
      </w:tr>
      <w:tr w:rsidR="00541219" w14:paraId="01A397CB"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2C939DF8" w14:textId="77777777" w:rsidR="00541219" w:rsidRDefault="00000000">
            <w:pPr>
              <w:spacing w:after="0"/>
              <w:ind w:left="0" w:right="4" w:firstLine="0"/>
              <w:jc w:val="both"/>
            </w:pPr>
            <w:r>
              <w:rPr>
                <w:sz w:val="8"/>
              </w:rPr>
              <w:t>12. As demais alterações realizadas no texto base e que compõem a proposta para a nova minuta do termo aditivo aos contratos de concessão serão tratadas no item III.1 desta Nota Técnica.</w:t>
            </w:r>
          </w:p>
        </w:tc>
        <w:tc>
          <w:tcPr>
            <w:tcW w:w="0" w:type="auto"/>
            <w:gridSpan w:val="2"/>
            <w:vMerge/>
            <w:tcBorders>
              <w:top w:val="nil"/>
              <w:left w:val="single" w:sz="3" w:space="0" w:color="000000"/>
              <w:bottom w:val="nil"/>
              <w:right w:val="nil"/>
            </w:tcBorders>
          </w:tcPr>
          <w:p w14:paraId="361FEBBE" w14:textId="77777777" w:rsidR="00541219" w:rsidRDefault="00541219">
            <w:pPr>
              <w:spacing w:after="160"/>
              <w:ind w:left="0" w:firstLine="0"/>
            </w:pPr>
          </w:p>
        </w:tc>
      </w:tr>
      <w:tr w:rsidR="00541219" w14:paraId="3ABE61F8" w14:textId="77777777">
        <w:trPr>
          <w:trHeight w:val="110"/>
        </w:trPr>
        <w:tc>
          <w:tcPr>
            <w:tcW w:w="5344" w:type="dxa"/>
            <w:tcBorders>
              <w:top w:val="single" w:sz="3" w:space="0" w:color="000000"/>
              <w:left w:val="single" w:sz="3" w:space="0" w:color="000000"/>
              <w:bottom w:val="single" w:sz="3" w:space="0" w:color="000000"/>
              <w:right w:val="single" w:sz="3" w:space="0" w:color="000000"/>
            </w:tcBorders>
          </w:tcPr>
          <w:p w14:paraId="7C02E9F6" w14:textId="77777777" w:rsidR="00541219" w:rsidRDefault="00000000">
            <w:pPr>
              <w:spacing w:after="0"/>
              <w:ind w:left="0" w:firstLine="0"/>
            </w:pPr>
            <w:r>
              <w:rPr>
                <w:sz w:val="8"/>
              </w:rPr>
              <w:t>13. Posto isso, esta nota técnica é composta pelos seguintes anexos:</w:t>
            </w:r>
          </w:p>
        </w:tc>
        <w:tc>
          <w:tcPr>
            <w:tcW w:w="0" w:type="auto"/>
            <w:gridSpan w:val="2"/>
            <w:vMerge/>
            <w:tcBorders>
              <w:top w:val="nil"/>
              <w:left w:val="single" w:sz="3" w:space="0" w:color="000000"/>
              <w:bottom w:val="nil"/>
              <w:right w:val="nil"/>
            </w:tcBorders>
          </w:tcPr>
          <w:p w14:paraId="16D66A72" w14:textId="77777777" w:rsidR="00541219" w:rsidRDefault="00541219">
            <w:pPr>
              <w:spacing w:after="160"/>
              <w:ind w:left="0" w:firstLine="0"/>
            </w:pPr>
          </w:p>
        </w:tc>
      </w:tr>
      <w:tr w:rsidR="00541219" w14:paraId="08235082" w14:textId="77777777">
        <w:trPr>
          <w:trHeight w:val="110"/>
        </w:trPr>
        <w:tc>
          <w:tcPr>
            <w:tcW w:w="5344" w:type="dxa"/>
            <w:tcBorders>
              <w:top w:val="single" w:sz="3" w:space="0" w:color="000000"/>
              <w:left w:val="single" w:sz="3" w:space="0" w:color="000000"/>
              <w:bottom w:val="single" w:sz="3" w:space="0" w:color="000000"/>
              <w:right w:val="single" w:sz="3" w:space="0" w:color="000000"/>
            </w:tcBorders>
          </w:tcPr>
          <w:p w14:paraId="34C136AB" w14:textId="77777777" w:rsidR="00541219" w:rsidRDefault="00000000">
            <w:pPr>
              <w:spacing w:after="0"/>
              <w:ind w:left="0" w:firstLine="0"/>
            </w:pPr>
            <w:r>
              <w:rPr>
                <w:sz w:val="8"/>
              </w:rPr>
              <w:t xml:space="preserve">      − Anexo I: mapeamento das disposições do Decreto nº 12.068/2024 na minuta do termo aditivo; e</w:t>
            </w:r>
          </w:p>
        </w:tc>
        <w:tc>
          <w:tcPr>
            <w:tcW w:w="0" w:type="auto"/>
            <w:gridSpan w:val="2"/>
            <w:vMerge/>
            <w:tcBorders>
              <w:top w:val="nil"/>
              <w:left w:val="single" w:sz="3" w:space="0" w:color="000000"/>
              <w:bottom w:val="nil"/>
              <w:right w:val="nil"/>
            </w:tcBorders>
          </w:tcPr>
          <w:p w14:paraId="735B1436" w14:textId="77777777" w:rsidR="00541219" w:rsidRDefault="00541219">
            <w:pPr>
              <w:spacing w:after="160"/>
              <w:ind w:left="0" w:firstLine="0"/>
            </w:pPr>
          </w:p>
        </w:tc>
      </w:tr>
      <w:tr w:rsidR="00541219" w14:paraId="32ACC816" w14:textId="77777777">
        <w:trPr>
          <w:trHeight w:val="110"/>
        </w:trPr>
        <w:tc>
          <w:tcPr>
            <w:tcW w:w="5344" w:type="dxa"/>
            <w:tcBorders>
              <w:top w:val="single" w:sz="3" w:space="0" w:color="000000"/>
              <w:left w:val="single" w:sz="3" w:space="0" w:color="000000"/>
              <w:bottom w:val="single" w:sz="3" w:space="0" w:color="000000"/>
              <w:right w:val="single" w:sz="3" w:space="0" w:color="000000"/>
            </w:tcBorders>
          </w:tcPr>
          <w:p w14:paraId="4DD44C7D" w14:textId="77777777" w:rsidR="00541219" w:rsidRDefault="00000000">
            <w:pPr>
              <w:spacing w:after="0"/>
              <w:ind w:left="0" w:firstLine="0"/>
            </w:pPr>
            <w:r>
              <w:rPr>
                <w:sz w:val="8"/>
              </w:rPr>
              <w:t xml:space="preserve">      − Anexo II: proposta de minuta do termo aditivo ao contrato de concessão.</w:t>
            </w:r>
          </w:p>
        </w:tc>
        <w:tc>
          <w:tcPr>
            <w:tcW w:w="0" w:type="auto"/>
            <w:gridSpan w:val="2"/>
            <w:vMerge/>
            <w:tcBorders>
              <w:top w:val="nil"/>
              <w:left w:val="single" w:sz="3" w:space="0" w:color="000000"/>
              <w:bottom w:val="nil"/>
              <w:right w:val="nil"/>
            </w:tcBorders>
          </w:tcPr>
          <w:p w14:paraId="64873944" w14:textId="77777777" w:rsidR="00541219" w:rsidRDefault="00541219">
            <w:pPr>
              <w:spacing w:after="160"/>
              <w:ind w:left="0" w:firstLine="0"/>
            </w:pPr>
          </w:p>
        </w:tc>
      </w:tr>
      <w:tr w:rsidR="00541219" w14:paraId="24BE486F"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2984BA6D" w14:textId="77777777" w:rsidR="00541219" w:rsidRDefault="00000000">
            <w:pPr>
              <w:spacing w:after="0"/>
              <w:ind w:left="0" w:right="235" w:firstLine="0"/>
              <w:jc w:val="both"/>
            </w:pPr>
            <w:r>
              <w:rPr>
                <w:sz w:val="8"/>
              </w:rPr>
              <w:t>14. Finalmente, esclarece-se que o processo de consulta pública aqui proposto se restringirá a discutir a proposta de minuta do termo aditivo ao contrato de concessão. Contribuições para outros temas, inclusive para regulação das cláusulas do termo aditivo, serão consideradas fora de escopo e devem ser encaminhadas nos processos de participação pública específicos.</w:t>
            </w:r>
          </w:p>
        </w:tc>
        <w:tc>
          <w:tcPr>
            <w:tcW w:w="0" w:type="auto"/>
            <w:gridSpan w:val="2"/>
            <w:vMerge/>
            <w:tcBorders>
              <w:top w:val="nil"/>
              <w:left w:val="single" w:sz="3" w:space="0" w:color="000000"/>
              <w:bottom w:val="nil"/>
              <w:right w:val="nil"/>
            </w:tcBorders>
          </w:tcPr>
          <w:p w14:paraId="63F0B78B" w14:textId="77777777" w:rsidR="00541219" w:rsidRDefault="00541219">
            <w:pPr>
              <w:spacing w:after="160"/>
              <w:ind w:left="0" w:firstLine="0"/>
            </w:pPr>
          </w:p>
        </w:tc>
      </w:tr>
      <w:tr w:rsidR="00541219" w14:paraId="10C73E6E" w14:textId="77777777">
        <w:trPr>
          <w:trHeight w:val="115"/>
        </w:trPr>
        <w:tc>
          <w:tcPr>
            <w:tcW w:w="5344" w:type="dxa"/>
            <w:tcBorders>
              <w:top w:val="single" w:sz="3" w:space="0" w:color="000000"/>
              <w:left w:val="single" w:sz="3" w:space="0" w:color="000000"/>
              <w:bottom w:val="single" w:sz="3" w:space="0" w:color="000000"/>
              <w:right w:val="single" w:sz="3" w:space="0" w:color="000000"/>
            </w:tcBorders>
            <w:shd w:val="clear" w:color="auto" w:fill="D9E7FD"/>
          </w:tcPr>
          <w:p w14:paraId="32ED843F" w14:textId="77777777" w:rsidR="00541219" w:rsidRDefault="00000000">
            <w:pPr>
              <w:spacing w:after="0"/>
              <w:ind w:left="2" w:firstLine="0"/>
            </w:pPr>
            <w:r>
              <w:t>III.1 – DAS PROPOSTAS PARA O TERMO ADITIVO</w:t>
            </w:r>
          </w:p>
        </w:tc>
        <w:tc>
          <w:tcPr>
            <w:tcW w:w="0" w:type="auto"/>
            <w:gridSpan w:val="2"/>
            <w:vMerge/>
            <w:tcBorders>
              <w:top w:val="nil"/>
              <w:left w:val="single" w:sz="3" w:space="0" w:color="000000"/>
              <w:bottom w:val="nil"/>
              <w:right w:val="nil"/>
            </w:tcBorders>
          </w:tcPr>
          <w:p w14:paraId="5CF72805" w14:textId="77777777" w:rsidR="00541219" w:rsidRDefault="00541219">
            <w:pPr>
              <w:spacing w:after="160"/>
              <w:ind w:left="0" w:firstLine="0"/>
            </w:pPr>
          </w:p>
        </w:tc>
      </w:tr>
      <w:tr w:rsidR="00541219" w14:paraId="4C4C71BE" w14:textId="77777777">
        <w:trPr>
          <w:trHeight w:val="115"/>
        </w:trPr>
        <w:tc>
          <w:tcPr>
            <w:tcW w:w="5344" w:type="dxa"/>
            <w:tcBorders>
              <w:top w:val="single" w:sz="3" w:space="0" w:color="000000"/>
              <w:left w:val="single" w:sz="3" w:space="0" w:color="000000"/>
              <w:bottom w:val="single" w:sz="3" w:space="0" w:color="000000"/>
              <w:right w:val="single" w:sz="3" w:space="0" w:color="000000"/>
            </w:tcBorders>
            <w:shd w:val="clear" w:color="auto" w:fill="D9E7FD"/>
          </w:tcPr>
          <w:p w14:paraId="46B2CA0B" w14:textId="77777777" w:rsidR="00541219" w:rsidRDefault="00000000">
            <w:pPr>
              <w:spacing w:after="0"/>
              <w:ind w:left="2" w:firstLine="0"/>
            </w:pPr>
            <w:r>
              <w:t>III.1.1 – Da sustentabilidade econômico-financeira da concessão</w:t>
            </w:r>
          </w:p>
        </w:tc>
        <w:tc>
          <w:tcPr>
            <w:tcW w:w="0" w:type="auto"/>
            <w:gridSpan w:val="2"/>
            <w:vMerge/>
            <w:tcBorders>
              <w:top w:val="nil"/>
              <w:left w:val="single" w:sz="3" w:space="0" w:color="000000"/>
              <w:bottom w:val="single" w:sz="3" w:space="0" w:color="000000"/>
              <w:right w:val="nil"/>
            </w:tcBorders>
          </w:tcPr>
          <w:p w14:paraId="53FDD7CB" w14:textId="77777777" w:rsidR="00541219" w:rsidRDefault="00541219">
            <w:pPr>
              <w:spacing w:after="160"/>
              <w:ind w:left="0" w:firstLine="0"/>
            </w:pPr>
          </w:p>
        </w:tc>
      </w:tr>
      <w:tr w:rsidR="00541219" w14:paraId="012C2AAA" w14:textId="77777777">
        <w:trPr>
          <w:trHeight w:val="470"/>
        </w:trPr>
        <w:tc>
          <w:tcPr>
            <w:tcW w:w="5344" w:type="dxa"/>
            <w:tcBorders>
              <w:top w:val="single" w:sz="3" w:space="0" w:color="000000"/>
              <w:left w:val="single" w:sz="3" w:space="0" w:color="000000"/>
              <w:bottom w:val="single" w:sz="3" w:space="0" w:color="000000"/>
              <w:right w:val="single" w:sz="3" w:space="0" w:color="000000"/>
            </w:tcBorders>
          </w:tcPr>
          <w:p w14:paraId="2BB46E8D" w14:textId="77777777" w:rsidR="00541219" w:rsidRDefault="00000000">
            <w:pPr>
              <w:spacing w:after="0"/>
              <w:ind w:left="0" w:firstLine="0"/>
            </w:pPr>
            <w:r>
              <w:rPr>
                <w:sz w:val="8"/>
              </w:rPr>
              <w:t>15. A sustentabilidade econômico-financeira das concessões de distribuição, bem como de qualquer outro negócio, é necessidade fundamental. No caso de concessionária de distribuição de energia elétrica, considerando o modelo no qual a concessionária repassa parte dos recursos que são por ela arrecadados, eventual insolvência tem potencial de causar danos extensos ao setor elétrico: aos consumidores pela perda da qualidade, às geradoras e transmissoras para a operação dos empreendimentos e remuneração do capital, aos fundos setoriais para a efetivação de políticas públicas e demais entidades (erário, funcionários, fornecedores e financiadores).</w:t>
            </w:r>
          </w:p>
        </w:tc>
        <w:tc>
          <w:tcPr>
            <w:tcW w:w="1229" w:type="dxa"/>
            <w:tcBorders>
              <w:top w:val="single" w:sz="3" w:space="0" w:color="000000"/>
              <w:left w:val="single" w:sz="3" w:space="0" w:color="000000"/>
              <w:bottom w:val="single" w:sz="3" w:space="0" w:color="000000"/>
              <w:right w:val="single" w:sz="3" w:space="0" w:color="000000"/>
            </w:tcBorders>
            <w:vAlign w:val="center"/>
          </w:tcPr>
          <w:p w14:paraId="4401D99C"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vAlign w:val="center"/>
          </w:tcPr>
          <w:p w14:paraId="16060CF7" w14:textId="77777777" w:rsidR="00541219" w:rsidRDefault="00000000">
            <w:pPr>
              <w:spacing w:after="0"/>
              <w:ind w:left="5" w:firstLine="0"/>
            </w:pPr>
            <w:r>
              <w:t>Os consumidores, por trata-se de mercado monopolista, devem ser defendidos.</w:t>
            </w:r>
          </w:p>
        </w:tc>
      </w:tr>
      <w:tr w:rsidR="00541219" w14:paraId="24081E9B"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166D6173" w14:textId="77777777" w:rsidR="00541219" w:rsidRDefault="00000000">
            <w:pPr>
              <w:spacing w:after="0"/>
              <w:ind w:left="0" w:firstLine="0"/>
            </w:pPr>
            <w:r>
              <w:rPr>
                <w:sz w:val="8"/>
              </w:rPr>
              <w:t>16. Por meio das suas atividades fiscalizatórias, compete à ANEEL zelar pela sustentabilidade econômico-financeira do setor, com destaque para o acompanhamento das distribuidoras. Tal missão ficou mais evidenciada quando da publicação da Lei nº 12.783/2013; e, principalmente, do Decreto nº 8.461/2015, que definiu a exigência de cláusulas de sustentabilidade no inciso I do parágrafo único do art. 2o.</w:t>
            </w:r>
          </w:p>
        </w:tc>
        <w:tc>
          <w:tcPr>
            <w:tcW w:w="4920" w:type="dxa"/>
            <w:gridSpan w:val="2"/>
            <w:vMerge w:val="restart"/>
            <w:tcBorders>
              <w:top w:val="single" w:sz="3" w:space="0" w:color="000000"/>
              <w:left w:val="single" w:sz="3" w:space="0" w:color="000000"/>
              <w:bottom w:val="nil"/>
              <w:right w:val="nil"/>
            </w:tcBorders>
          </w:tcPr>
          <w:p w14:paraId="7D403A43" w14:textId="77777777" w:rsidR="00541219" w:rsidRDefault="00541219">
            <w:pPr>
              <w:spacing w:after="160"/>
              <w:ind w:left="0" w:firstLine="0"/>
            </w:pPr>
          </w:p>
        </w:tc>
      </w:tr>
      <w:tr w:rsidR="00541219" w14:paraId="2B4F9EBB"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668ADEB9" w14:textId="77777777" w:rsidR="00541219" w:rsidRDefault="00000000">
            <w:pPr>
              <w:spacing w:after="0"/>
              <w:ind w:left="0" w:firstLine="0"/>
            </w:pPr>
            <w:r>
              <w:rPr>
                <w:sz w:val="8"/>
              </w:rPr>
              <w:t>17. Desde a aprovação da minuta de termo aditivo em 2015, nos termos do Decreto nº 8.461/2015, novos contratos foram celebrados e houve a regulação da matéria por meio da Resolução Normativa nº 948/2021. Dessa forma, mantém-se o mérito dessa discussão e a proposta de texto para a nova minuta reflete a cláusula dos contratos mais recentes, a norma e os comandos do Decreto nº 12.068/2024:</w:t>
            </w:r>
          </w:p>
        </w:tc>
        <w:tc>
          <w:tcPr>
            <w:tcW w:w="0" w:type="auto"/>
            <w:gridSpan w:val="2"/>
            <w:vMerge/>
            <w:tcBorders>
              <w:top w:val="nil"/>
              <w:left w:val="single" w:sz="3" w:space="0" w:color="000000"/>
              <w:bottom w:val="nil"/>
              <w:right w:val="nil"/>
            </w:tcBorders>
          </w:tcPr>
          <w:p w14:paraId="788F44CF" w14:textId="77777777" w:rsidR="00541219" w:rsidRDefault="00541219">
            <w:pPr>
              <w:spacing w:after="160"/>
              <w:ind w:left="0" w:firstLine="0"/>
            </w:pPr>
          </w:p>
        </w:tc>
      </w:tr>
      <w:tr w:rsidR="00541219" w14:paraId="73A03451"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28892435" w14:textId="77777777" w:rsidR="00541219" w:rsidRDefault="00000000">
            <w:pPr>
              <w:spacing w:after="0"/>
              <w:ind w:left="497" w:firstLine="0"/>
            </w:pPr>
            <w:r>
              <w:rPr>
                <w:sz w:val="8"/>
              </w:rPr>
              <w:t xml:space="preserve">     CLÁUSULA SÉTIMA – SUSTENTABILIDADE ECONÔMICA E FINANCEIRA</w:t>
            </w:r>
          </w:p>
        </w:tc>
        <w:tc>
          <w:tcPr>
            <w:tcW w:w="0" w:type="auto"/>
            <w:gridSpan w:val="2"/>
            <w:vMerge/>
            <w:tcBorders>
              <w:top w:val="nil"/>
              <w:left w:val="single" w:sz="3" w:space="0" w:color="000000"/>
              <w:bottom w:val="nil"/>
              <w:right w:val="nil"/>
            </w:tcBorders>
          </w:tcPr>
          <w:p w14:paraId="303EC88A" w14:textId="77777777" w:rsidR="00541219" w:rsidRDefault="00541219">
            <w:pPr>
              <w:spacing w:after="160"/>
              <w:ind w:left="0" w:firstLine="0"/>
            </w:pPr>
          </w:p>
        </w:tc>
      </w:tr>
      <w:tr w:rsidR="00541219" w14:paraId="334DDF3A"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6403EDA0" w14:textId="77777777" w:rsidR="00541219" w:rsidRDefault="00000000">
            <w:pPr>
              <w:spacing w:after="0"/>
              <w:ind w:left="497" w:right="24" w:firstLine="0"/>
            </w:pPr>
            <w:r>
              <w:rPr>
                <w:sz w:val="8"/>
              </w:rPr>
              <w:t xml:space="preserve">     A DISTRIBUIDORA se compromete a preservar, durante toda a concessão, condição de sustentabilidade econômica e financeira na gestão dos seus custos e despesas, da solvência de endividamento, dos investimentos em reposição, melhoria e expansão, além da responsabilidade no pagamento de tributos e de proventos aos acionistas.</w:t>
            </w:r>
          </w:p>
        </w:tc>
        <w:tc>
          <w:tcPr>
            <w:tcW w:w="0" w:type="auto"/>
            <w:gridSpan w:val="2"/>
            <w:vMerge/>
            <w:tcBorders>
              <w:top w:val="nil"/>
              <w:left w:val="single" w:sz="3" w:space="0" w:color="000000"/>
              <w:bottom w:val="nil"/>
              <w:right w:val="nil"/>
            </w:tcBorders>
          </w:tcPr>
          <w:p w14:paraId="05C00A0A" w14:textId="77777777" w:rsidR="00541219" w:rsidRDefault="00541219">
            <w:pPr>
              <w:spacing w:after="160"/>
              <w:ind w:left="0" w:firstLine="0"/>
            </w:pPr>
          </w:p>
        </w:tc>
      </w:tr>
      <w:tr w:rsidR="00541219" w14:paraId="58829085"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4D797362" w14:textId="77777777" w:rsidR="00541219" w:rsidRDefault="00000000">
            <w:pPr>
              <w:spacing w:after="0"/>
              <w:ind w:left="497" w:firstLine="0"/>
            </w:pPr>
            <w:r>
              <w:rPr>
                <w:sz w:val="8"/>
              </w:rPr>
              <w:t xml:space="preserve">     Subcláusula Primeira – O descumprimento por parte da DISTRIBUIDORA dos Critérios de Eficiência com relação à Gestão </w:t>
            </w:r>
            <w:proofErr w:type="spellStart"/>
            <w:r>
              <w:rPr>
                <w:sz w:val="8"/>
              </w:rPr>
              <w:t>EconômicoFinanceira</w:t>
            </w:r>
            <w:proofErr w:type="spellEnd"/>
            <w:r>
              <w:rPr>
                <w:sz w:val="8"/>
              </w:rPr>
              <w:t>, conforme regulação, implicará, sem prejuízo de outras ações fiscalizatórias:</w:t>
            </w:r>
          </w:p>
        </w:tc>
        <w:tc>
          <w:tcPr>
            <w:tcW w:w="0" w:type="auto"/>
            <w:gridSpan w:val="2"/>
            <w:vMerge/>
            <w:tcBorders>
              <w:top w:val="nil"/>
              <w:left w:val="single" w:sz="3" w:space="0" w:color="000000"/>
              <w:bottom w:val="nil"/>
              <w:right w:val="nil"/>
            </w:tcBorders>
          </w:tcPr>
          <w:p w14:paraId="474C6319" w14:textId="77777777" w:rsidR="00541219" w:rsidRDefault="00541219">
            <w:pPr>
              <w:spacing w:after="160"/>
              <w:ind w:left="0" w:firstLine="0"/>
            </w:pPr>
          </w:p>
        </w:tc>
      </w:tr>
      <w:tr w:rsidR="00541219" w14:paraId="335A7D53" w14:textId="77777777">
        <w:trPr>
          <w:trHeight w:val="470"/>
        </w:trPr>
        <w:tc>
          <w:tcPr>
            <w:tcW w:w="5344" w:type="dxa"/>
            <w:tcBorders>
              <w:top w:val="single" w:sz="3" w:space="0" w:color="000000"/>
              <w:left w:val="single" w:sz="3" w:space="0" w:color="000000"/>
              <w:bottom w:val="single" w:sz="3" w:space="0" w:color="000000"/>
              <w:right w:val="single" w:sz="3" w:space="0" w:color="000000"/>
            </w:tcBorders>
          </w:tcPr>
          <w:p w14:paraId="23EF2160" w14:textId="77777777" w:rsidR="00541219" w:rsidRDefault="00000000">
            <w:pPr>
              <w:spacing w:after="0"/>
              <w:ind w:left="497" w:firstLine="0"/>
            </w:pPr>
            <w:r>
              <w:rPr>
                <w:sz w:val="8"/>
              </w:rPr>
              <w:t xml:space="preserve">          I – </w:t>
            </w:r>
            <w:proofErr w:type="gramStart"/>
            <w:r>
              <w:rPr>
                <w:sz w:val="8"/>
              </w:rPr>
              <w:t>a</w:t>
            </w:r>
            <w:proofErr w:type="gramEnd"/>
            <w:r>
              <w:rPr>
                <w:sz w:val="8"/>
              </w:rPr>
              <w:t xml:space="preserve"> limitação de pagamento de dividendos e de juros sobre o capital próprio cujo valor, isoladamente ou em conjunto, supere 25% do lucro líquido diminuído ou acrescido pelos montantes destinados à reserva legal (art. 193 da Lei no 6.404, de 1976) e à reserva para contingências (art. 195 da Lei no 6.404, de 1976) e reversão da mesma reserva formada em exercícios anteriores, até que os </w:t>
            </w:r>
          </w:p>
          <w:p w14:paraId="27E0184C" w14:textId="77777777" w:rsidR="00541219" w:rsidRDefault="00000000">
            <w:pPr>
              <w:spacing w:after="0"/>
              <w:ind w:left="497" w:firstLine="0"/>
            </w:pPr>
            <w:r>
              <w:rPr>
                <w:sz w:val="8"/>
              </w:rPr>
              <w:t xml:space="preserve">Critérios de Eficiência com relação à Gestão Econômico-Financeira sejam restaurados e observáveis a partir das demonstrações contábeis regulatórias do ano civil subsequentes entregues à </w:t>
            </w:r>
            <w:proofErr w:type="gramStart"/>
            <w:r>
              <w:rPr>
                <w:sz w:val="8"/>
              </w:rPr>
              <w:t>ANEEL ;</w:t>
            </w:r>
            <w:proofErr w:type="gramEnd"/>
            <w:r>
              <w:rPr>
                <w:sz w:val="8"/>
              </w:rPr>
              <w:t xml:space="preserve"> e</w:t>
            </w:r>
          </w:p>
        </w:tc>
        <w:tc>
          <w:tcPr>
            <w:tcW w:w="0" w:type="auto"/>
            <w:gridSpan w:val="2"/>
            <w:vMerge/>
            <w:tcBorders>
              <w:top w:val="nil"/>
              <w:left w:val="single" w:sz="3" w:space="0" w:color="000000"/>
              <w:bottom w:val="nil"/>
              <w:right w:val="nil"/>
            </w:tcBorders>
          </w:tcPr>
          <w:p w14:paraId="5B10ECD5" w14:textId="77777777" w:rsidR="00541219" w:rsidRDefault="00541219">
            <w:pPr>
              <w:spacing w:after="160"/>
              <w:ind w:left="0" w:firstLine="0"/>
            </w:pPr>
          </w:p>
        </w:tc>
      </w:tr>
      <w:tr w:rsidR="00541219" w14:paraId="018D3727"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318699BE" w14:textId="77777777" w:rsidR="00541219" w:rsidRDefault="00000000">
            <w:pPr>
              <w:spacing w:after="0"/>
              <w:ind w:left="497" w:firstLine="0"/>
            </w:pPr>
            <w:r>
              <w:rPr>
                <w:sz w:val="8"/>
              </w:rPr>
              <w:t xml:space="preserve">          II – </w:t>
            </w:r>
            <w:proofErr w:type="gramStart"/>
            <w:r>
              <w:rPr>
                <w:sz w:val="8"/>
              </w:rPr>
              <w:t>a</w:t>
            </w:r>
            <w:proofErr w:type="gramEnd"/>
            <w:r>
              <w:rPr>
                <w:sz w:val="8"/>
              </w:rPr>
              <w:t xml:space="preserve"> limitação de novos atos e negócios jurídicos entre a concessionária e suas partes relacionadas.</w:t>
            </w:r>
          </w:p>
        </w:tc>
        <w:tc>
          <w:tcPr>
            <w:tcW w:w="0" w:type="auto"/>
            <w:gridSpan w:val="2"/>
            <w:vMerge/>
            <w:tcBorders>
              <w:top w:val="nil"/>
              <w:left w:val="single" w:sz="3" w:space="0" w:color="000000"/>
              <w:bottom w:val="nil"/>
              <w:right w:val="nil"/>
            </w:tcBorders>
          </w:tcPr>
          <w:p w14:paraId="13C4D788" w14:textId="77777777" w:rsidR="00541219" w:rsidRDefault="00541219">
            <w:pPr>
              <w:spacing w:after="160"/>
              <w:ind w:left="0" w:firstLine="0"/>
            </w:pPr>
          </w:p>
        </w:tc>
      </w:tr>
      <w:tr w:rsidR="00541219" w14:paraId="7A882A2E"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2189963B" w14:textId="77777777" w:rsidR="00541219" w:rsidRDefault="00000000">
            <w:pPr>
              <w:spacing w:after="0"/>
              <w:ind w:left="497" w:firstLine="0"/>
            </w:pPr>
            <w:r>
              <w:rPr>
                <w:sz w:val="8"/>
              </w:rPr>
              <w:t xml:space="preserve">     Subcláusula Segunda – A DISTRIBUIDORA deverá manter inscrito em seus atos constitutivos, durante toda a concessão, o dispositivo previsto pelo inciso I da Subcláusula Primeira e pela Subcláusula Oitava da Cláusula Segunda.</w:t>
            </w:r>
          </w:p>
        </w:tc>
        <w:tc>
          <w:tcPr>
            <w:tcW w:w="0" w:type="auto"/>
            <w:gridSpan w:val="2"/>
            <w:vMerge/>
            <w:tcBorders>
              <w:top w:val="nil"/>
              <w:left w:val="single" w:sz="3" w:space="0" w:color="000000"/>
              <w:bottom w:val="nil"/>
              <w:right w:val="nil"/>
            </w:tcBorders>
          </w:tcPr>
          <w:p w14:paraId="36551EB7" w14:textId="77777777" w:rsidR="00541219" w:rsidRDefault="00541219">
            <w:pPr>
              <w:spacing w:after="160"/>
              <w:ind w:left="0" w:firstLine="0"/>
            </w:pPr>
          </w:p>
        </w:tc>
      </w:tr>
      <w:tr w:rsidR="00541219" w14:paraId="1630705F"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54C72B2F" w14:textId="77777777" w:rsidR="00541219" w:rsidRDefault="00000000">
            <w:pPr>
              <w:spacing w:after="0"/>
              <w:ind w:left="497" w:firstLine="0"/>
            </w:pPr>
            <w:r>
              <w:rPr>
                <w:sz w:val="8"/>
              </w:rPr>
              <w:t xml:space="preserve">     Parágrafo Único – O ato constitutivo alterado deverá ser enviado à ANEEL em até 180 dias da data de assinatura deste Termo Aditivo.</w:t>
            </w:r>
          </w:p>
        </w:tc>
        <w:tc>
          <w:tcPr>
            <w:tcW w:w="0" w:type="auto"/>
            <w:gridSpan w:val="2"/>
            <w:vMerge/>
            <w:tcBorders>
              <w:top w:val="nil"/>
              <w:left w:val="single" w:sz="3" w:space="0" w:color="000000"/>
              <w:bottom w:val="nil"/>
              <w:right w:val="nil"/>
            </w:tcBorders>
          </w:tcPr>
          <w:p w14:paraId="77D0894E" w14:textId="77777777" w:rsidR="00541219" w:rsidRDefault="00541219">
            <w:pPr>
              <w:spacing w:after="160"/>
              <w:ind w:left="0" w:firstLine="0"/>
            </w:pPr>
          </w:p>
        </w:tc>
      </w:tr>
      <w:tr w:rsidR="00541219" w14:paraId="60AD5E4E"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5B53A9E0" w14:textId="77777777" w:rsidR="00541219" w:rsidRDefault="00000000">
            <w:pPr>
              <w:spacing w:after="0"/>
              <w:ind w:left="497" w:firstLine="0"/>
            </w:pPr>
            <w:r>
              <w:rPr>
                <w:sz w:val="8"/>
              </w:rPr>
              <w:t xml:space="preserve">     Subcláusula Terceira – A DISTRIBUIDORA se compromete a atender a todas as obrigações de natureza fiscal, trabalhista e previdenciária, os encargos oriundos de normas regulamentares estabelecidas pelo PODER CONCEDENTE e pela ANEEL, bem assim a </w:t>
            </w:r>
          </w:p>
          <w:p w14:paraId="33A8ED83" w14:textId="77777777" w:rsidR="00541219" w:rsidRDefault="00000000">
            <w:pPr>
              <w:spacing w:after="0"/>
              <w:ind w:left="497" w:firstLine="0"/>
            </w:pPr>
            <w:r>
              <w:rPr>
                <w:sz w:val="8"/>
              </w:rPr>
              <w:t>quaisquer outras obrigações relacionadas ou decorrentes da exploração do serviço público de distribuição de energia elétrica, especialmente quanto ao pagamento dos valores relativos à fiscalização do serviço público de distribuição, conforme normas setoriais.</w:t>
            </w:r>
          </w:p>
        </w:tc>
        <w:tc>
          <w:tcPr>
            <w:tcW w:w="0" w:type="auto"/>
            <w:gridSpan w:val="2"/>
            <w:vMerge/>
            <w:tcBorders>
              <w:top w:val="nil"/>
              <w:left w:val="single" w:sz="3" w:space="0" w:color="000000"/>
              <w:bottom w:val="nil"/>
              <w:right w:val="nil"/>
            </w:tcBorders>
          </w:tcPr>
          <w:p w14:paraId="72AC8D15" w14:textId="77777777" w:rsidR="00541219" w:rsidRDefault="00541219">
            <w:pPr>
              <w:spacing w:after="160"/>
              <w:ind w:left="0" w:firstLine="0"/>
            </w:pPr>
          </w:p>
        </w:tc>
      </w:tr>
      <w:tr w:rsidR="00541219" w14:paraId="3A1F4C7E"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7607C3F4" w14:textId="77777777" w:rsidR="00541219" w:rsidRDefault="00000000">
            <w:pPr>
              <w:spacing w:after="0"/>
              <w:ind w:left="0" w:firstLine="0"/>
            </w:pPr>
            <w:r>
              <w:rPr>
                <w:sz w:val="8"/>
              </w:rPr>
              <w:t>18. Observa-se que a proposta da Subcláusula Primeira remete à regulação da ANEEL quanto ao descumprimento dos Critérios de Eficiência com relação à Gestão Econômico-Financeira. Dessa forma, em um eventual descumprimento preliminar pela distribuidora do critério de eficiência com relação à gestão econômico-financeira, atualmente, conforme a Resolução Normativa no 948/2021, a concessionária poderá vir a cumprir a métrica, em caso de aporte de capital que reduza a dívida líquida a um patamar que satisfaça a inequação.</w:t>
            </w:r>
          </w:p>
        </w:tc>
        <w:tc>
          <w:tcPr>
            <w:tcW w:w="0" w:type="auto"/>
            <w:gridSpan w:val="2"/>
            <w:vMerge/>
            <w:tcBorders>
              <w:top w:val="nil"/>
              <w:left w:val="single" w:sz="3" w:space="0" w:color="000000"/>
              <w:bottom w:val="nil"/>
              <w:right w:val="nil"/>
            </w:tcBorders>
          </w:tcPr>
          <w:p w14:paraId="22F55DE1" w14:textId="77777777" w:rsidR="00541219" w:rsidRDefault="00541219">
            <w:pPr>
              <w:spacing w:after="160"/>
              <w:ind w:left="0" w:firstLine="0"/>
            </w:pPr>
          </w:p>
        </w:tc>
      </w:tr>
      <w:tr w:rsidR="00541219" w14:paraId="237EBA5F"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5DC649C0" w14:textId="77777777" w:rsidR="00541219" w:rsidRDefault="00000000">
            <w:pPr>
              <w:spacing w:after="0"/>
              <w:ind w:left="0" w:firstLine="0"/>
            </w:pPr>
            <w:r>
              <w:rPr>
                <w:sz w:val="8"/>
              </w:rPr>
              <w:t>19. Assim, a Subcláusula Primeira da Cláusula Sétima atenderia ao disposto do inciso I do art. 4o do Decreto no 12.068/2024:</w:t>
            </w:r>
          </w:p>
        </w:tc>
        <w:tc>
          <w:tcPr>
            <w:tcW w:w="0" w:type="auto"/>
            <w:gridSpan w:val="2"/>
            <w:vMerge/>
            <w:tcBorders>
              <w:top w:val="nil"/>
              <w:left w:val="single" w:sz="3" w:space="0" w:color="000000"/>
              <w:bottom w:val="nil"/>
              <w:right w:val="nil"/>
            </w:tcBorders>
          </w:tcPr>
          <w:p w14:paraId="1B082BA3" w14:textId="77777777" w:rsidR="00541219" w:rsidRDefault="00541219">
            <w:pPr>
              <w:spacing w:after="160"/>
              <w:ind w:left="0" w:firstLine="0"/>
            </w:pPr>
          </w:p>
        </w:tc>
      </w:tr>
      <w:tr w:rsidR="00541219" w14:paraId="6E2203A9" w14:textId="77777777">
        <w:trPr>
          <w:trHeight w:val="149"/>
        </w:trPr>
        <w:tc>
          <w:tcPr>
            <w:tcW w:w="5344" w:type="dxa"/>
            <w:tcBorders>
              <w:top w:val="single" w:sz="3" w:space="0" w:color="000000"/>
              <w:left w:val="single" w:sz="3" w:space="0" w:color="000000"/>
              <w:bottom w:val="single" w:sz="3" w:space="0" w:color="000000"/>
              <w:right w:val="single" w:sz="3" w:space="0" w:color="000000"/>
            </w:tcBorders>
          </w:tcPr>
          <w:p w14:paraId="4FC0A427" w14:textId="77777777" w:rsidR="00541219" w:rsidRDefault="00000000">
            <w:pPr>
              <w:spacing w:after="0"/>
              <w:ind w:left="166" w:firstLine="0"/>
            </w:pPr>
            <w:r>
              <w:rPr>
                <w:sz w:val="8"/>
              </w:rPr>
              <w:t xml:space="preserve">     I - </w:t>
            </w:r>
            <w:proofErr w:type="gramStart"/>
            <w:r>
              <w:rPr>
                <w:sz w:val="8"/>
              </w:rPr>
              <w:t>sustentabilidade</w:t>
            </w:r>
            <w:proofErr w:type="gramEnd"/>
            <w:r>
              <w:rPr>
                <w:sz w:val="8"/>
              </w:rPr>
              <w:t xml:space="preserve"> econômico-financeira das concessionárias, inclusive por meio de aporte de capital;</w:t>
            </w:r>
          </w:p>
        </w:tc>
        <w:tc>
          <w:tcPr>
            <w:tcW w:w="0" w:type="auto"/>
            <w:gridSpan w:val="2"/>
            <w:vMerge/>
            <w:tcBorders>
              <w:top w:val="nil"/>
              <w:left w:val="single" w:sz="3" w:space="0" w:color="000000"/>
              <w:bottom w:val="nil"/>
              <w:right w:val="nil"/>
            </w:tcBorders>
          </w:tcPr>
          <w:p w14:paraId="2C665D9C" w14:textId="77777777" w:rsidR="00541219" w:rsidRDefault="00541219">
            <w:pPr>
              <w:spacing w:after="160"/>
              <w:ind w:left="0" w:firstLine="0"/>
            </w:pPr>
          </w:p>
        </w:tc>
      </w:tr>
      <w:tr w:rsidR="00541219" w14:paraId="1F274591" w14:textId="77777777">
        <w:trPr>
          <w:trHeight w:val="470"/>
        </w:trPr>
        <w:tc>
          <w:tcPr>
            <w:tcW w:w="5344" w:type="dxa"/>
            <w:tcBorders>
              <w:top w:val="single" w:sz="3" w:space="0" w:color="000000"/>
              <w:left w:val="single" w:sz="3" w:space="0" w:color="000000"/>
              <w:bottom w:val="single" w:sz="3" w:space="0" w:color="000000"/>
              <w:right w:val="single" w:sz="3" w:space="0" w:color="000000"/>
            </w:tcBorders>
          </w:tcPr>
          <w:p w14:paraId="29F34A01" w14:textId="77777777" w:rsidR="00541219" w:rsidRDefault="00000000">
            <w:pPr>
              <w:spacing w:after="0"/>
              <w:ind w:left="0" w:firstLine="0"/>
            </w:pPr>
            <w:r>
              <w:rPr>
                <w:sz w:val="8"/>
              </w:rPr>
              <w:t>20. Um primeiro descumprimento do Critério de Eficiência com relação à Gestão Econômico- Financeira, conforme os incisos I e II da Subcláusula Primeira da Cláusula Sétima da minuta do termo aditivo, ensejaria a limitação de pagamento de proventos ao acionista e de novos atos e negócios jurídicos entre a concessionária e suas partes relacionadas. Dois descumprimentos consecutivos, conforme o inciso II do art. 5o do Decreto no 12.068/2024, resultaria na abertura de processo de caducidade. Este tópico, juntamente ao descumprimento do Critério de Eficiência com relação à Continuidade do Fornecimento, é tratado no item “III.1.14 – Do processo de caducidade”.</w:t>
            </w:r>
          </w:p>
        </w:tc>
        <w:tc>
          <w:tcPr>
            <w:tcW w:w="0" w:type="auto"/>
            <w:gridSpan w:val="2"/>
            <w:vMerge/>
            <w:tcBorders>
              <w:top w:val="nil"/>
              <w:left w:val="single" w:sz="3" w:space="0" w:color="000000"/>
              <w:bottom w:val="nil"/>
              <w:right w:val="nil"/>
            </w:tcBorders>
          </w:tcPr>
          <w:p w14:paraId="756AD982" w14:textId="77777777" w:rsidR="00541219" w:rsidRDefault="00541219">
            <w:pPr>
              <w:spacing w:after="160"/>
              <w:ind w:left="0" w:firstLine="0"/>
            </w:pPr>
          </w:p>
        </w:tc>
      </w:tr>
      <w:tr w:rsidR="00541219" w14:paraId="19C52422"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40A49089" w14:textId="77777777" w:rsidR="00541219" w:rsidRDefault="00000000">
            <w:pPr>
              <w:spacing w:after="0"/>
              <w:ind w:left="0" w:firstLine="0"/>
            </w:pPr>
            <w:r>
              <w:rPr>
                <w:sz w:val="8"/>
              </w:rPr>
              <w:t>21. Relativamente aos Critérios de Eficiência, quanto à forma de cálculo das variáveis, a proposta é a de observar a regulação vigente nos termos do Módulo VIII do Anexo VIII da REN no 948/2021:</w:t>
            </w:r>
          </w:p>
        </w:tc>
        <w:tc>
          <w:tcPr>
            <w:tcW w:w="0" w:type="auto"/>
            <w:gridSpan w:val="2"/>
            <w:vMerge/>
            <w:tcBorders>
              <w:top w:val="nil"/>
              <w:left w:val="single" w:sz="3" w:space="0" w:color="000000"/>
              <w:bottom w:val="nil"/>
              <w:right w:val="nil"/>
            </w:tcBorders>
          </w:tcPr>
          <w:p w14:paraId="0449AED7" w14:textId="77777777" w:rsidR="00541219" w:rsidRDefault="00541219">
            <w:pPr>
              <w:spacing w:after="160"/>
              <w:ind w:left="0" w:firstLine="0"/>
            </w:pPr>
          </w:p>
        </w:tc>
      </w:tr>
      <w:tr w:rsidR="00541219" w14:paraId="7334F267"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3B07DE67" w14:textId="77777777" w:rsidR="00541219" w:rsidRDefault="00000000">
            <w:pPr>
              <w:spacing w:after="0"/>
              <w:ind w:left="497" w:right="6" w:firstLine="0"/>
            </w:pPr>
            <w:r>
              <w:rPr>
                <w:sz w:val="8"/>
              </w:rPr>
              <w:t xml:space="preserve">     Art. 4o O critério de eficiência com relação à gestão econômico-financeira será mensurado pela apuração, a cada ano civil, da inequação a seguir:</w:t>
            </w:r>
          </w:p>
        </w:tc>
        <w:tc>
          <w:tcPr>
            <w:tcW w:w="0" w:type="auto"/>
            <w:gridSpan w:val="2"/>
            <w:vMerge/>
            <w:tcBorders>
              <w:top w:val="nil"/>
              <w:left w:val="single" w:sz="3" w:space="0" w:color="000000"/>
              <w:bottom w:val="nil"/>
              <w:right w:val="nil"/>
            </w:tcBorders>
          </w:tcPr>
          <w:p w14:paraId="37EBFC25" w14:textId="77777777" w:rsidR="00541219" w:rsidRDefault="00541219">
            <w:pPr>
              <w:spacing w:after="160"/>
              <w:ind w:left="0" w:firstLine="0"/>
            </w:pPr>
          </w:p>
        </w:tc>
      </w:tr>
      <w:tr w:rsidR="00541219" w14:paraId="6289C4EB"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514446E3" w14:textId="77777777" w:rsidR="00541219" w:rsidRDefault="00000000">
            <w:pPr>
              <w:spacing w:after="0"/>
              <w:ind w:left="497" w:firstLine="0"/>
            </w:pPr>
            <w:r>
              <w:rPr>
                <w:sz w:val="8"/>
              </w:rPr>
              <w:t xml:space="preserve">          § 1o Considera-se descumprido o critério de eficiência com relação à gestão econômico-financeira quando houver a não conformidade da inequação ou quando o LAJIDA for menor do que a QRR.</w:t>
            </w:r>
          </w:p>
        </w:tc>
        <w:tc>
          <w:tcPr>
            <w:tcW w:w="0" w:type="auto"/>
            <w:gridSpan w:val="2"/>
            <w:vMerge/>
            <w:tcBorders>
              <w:top w:val="nil"/>
              <w:left w:val="single" w:sz="3" w:space="0" w:color="000000"/>
              <w:bottom w:val="nil"/>
              <w:right w:val="nil"/>
            </w:tcBorders>
          </w:tcPr>
          <w:p w14:paraId="43605AD7" w14:textId="77777777" w:rsidR="00541219" w:rsidRDefault="00541219">
            <w:pPr>
              <w:spacing w:after="160"/>
              <w:ind w:left="0" w:firstLine="0"/>
            </w:pPr>
          </w:p>
        </w:tc>
      </w:tr>
      <w:tr w:rsidR="00541219" w14:paraId="674931F6"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5A544AE7" w14:textId="77777777" w:rsidR="00541219" w:rsidRDefault="00000000">
            <w:pPr>
              <w:spacing w:after="0"/>
              <w:ind w:left="497" w:firstLine="0"/>
              <w:jc w:val="both"/>
            </w:pPr>
            <w:r>
              <w:rPr>
                <w:sz w:val="8"/>
              </w:rPr>
              <w:t xml:space="preserve">          § 2o A definição e a forma de obtenção das variáveis LAJIDA, QRR, Dívida Líquida e Selic são definidas no ANEXO VIII-A deste Módulo VIII.</w:t>
            </w:r>
          </w:p>
        </w:tc>
        <w:tc>
          <w:tcPr>
            <w:tcW w:w="0" w:type="auto"/>
            <w:gridSpan w:val="2"/>
            <w:vMerge/>
            <w:tcBorders>
              <w:top w:val="nil"/>
              <w:left w:val="single" w:sz="3" w:space="0" w:color="000000"/>
              <w:bottom w:val="nil"/>
              <w:right w:val="nil"/>
            </w:tcBorders>
          </w:tcPr>
          <w:p w14:paraId="6ECA7075" w14:textId="77777777" w:rsidR="00541219" w:rsidRDefault="00541219">
            <w:pPr>
              <w:spacing w:after="160"/>
              <w:ind w:left="0" w:firstLine="0"/>
            </w:pPr>
          </w:p>
        </w:tc>
      </w:tr>
      <w:tr w:rsidR="00541219" w14:paraId="00CD0677" w14:textId="77777777">
        <w:trPr>
          <w:trHeight w:val="279"/>
        </w:trPr>
        <w:tc>
          <w:tcPr>
            <w:tcW w:w="5344" w:type="dxa"/>
            <w:tcBorders>
              <w:top w:val="single" w:sz="3" w:space="0" w:color="000000"/>
              <w:left w:val="single" w:sz="3" w:space="0" w:color="000000"/>
              <w:bottom w:val="double" w:sz="3" w:space="0" w:color="000000"/>
              <w:right w:val="single" w:sz="3" w:space="0" w:color="000000"/>
            </w:tcBorders>
          </w:tcPr>
          <w:p w14:paraId="7E0E9523" w14:textId="77777777" w:rsidR="00541219" w:rsidRDefault="00000000">
            <w:pPr>
              <w:spacing w:after="19" w:line="252" w:lineRule="auto"/>
              <w:ind w:left="0" w:firstLine="0"/>
            </w:pPr>
            <w:r>
              <w:rPr>
                <w:sz w:val="8"/>
              </w:rPr>
              <w:t>22. Atualmente, há previsão de aperfeiçoamento da Resolução Normativa 948/2021 na Agenda Regulatória da ANEEL, além da discussão em andamento quanto ao Despacho no 3.478, de 20221.</w:t>
            </w:r>
          </w:p>
          <w:p w14:paraId="107C59B4" w14:textId="77777777" w:rsidR="00541219" w:rsidRDefault="00000000">
            <w:pPr>
              <w:spacing w:after="0"/>
              <w:ind w:left="2" w:firstLine="0"/>
            </w:pPr>
            <w:r>
              <w:t>III.1.2 – Da regulação econômica e práticas anticoncorrenciais</w:t>
            </w:r>
          </w:p>
        </w:tc>
        <w:tc>
          <w:tcPr>
            <w:tcW w:w="0" w:type="auto"/>
            <w:gridSpan w:val="2"/>
            <w:vMerge/>
            <w:tcBorders>
              <w:top w:val="nil"/>
              <w:left w:val="single" w:sz="3" w:space="0" w:color="000000"/>
              <w:bottom w:val="nil"/>
              <w:right w:val="nil"/>
            </w:tcBorders>
          </w:tcPr>
          <w:p w14:paraId="0D89F6C8" w14:textId="77777777" w:rsidR="00541219" w:rsidRDefault="00541219">
            <w:pPr>
              <w:spacing w:after="160"/>
              <w:ind w:left="0" w:firstLine="0"/>
            </w:pPr>
          </w:p>
        </w:tc>
      </w:tr>
      <w:tr w:rsidR="00541219" w14:paraId="5A83AFCB" w14:textId="77777777">
        <w:trPr>
          <w:trHeight w:val="117"/>
        </w:trPr>
        <w:tc>
          <w:tcPr>
            <w:tcW w:w="5344" w:type="dxa"/>
            <w:tcBorders>
              <w:top w:val="double" w:sz="3" w:space="0" w:color="000000"/>
              <w:left w:val="single" w:sz="3" w:space="0" w:color="000000"/>
              <w:bottom w:val="single" w:sz="3" w:space="0" w:color="000000"/>
              <w:right w:val="single" w:sz="3" w:space="0" w:color="000000"/>
            </w:tcBorders>
          </w:tcPr>
          <w:p w14:paraId="547DB25C" w14:textId="77777777" w:rsidR="00541219" w:rsidRDefault="00000000">
            <w:pPr>
              <w:spacing w:after="0"/>
              <w:ind w:left="0" w:firstLine="0"/>
            </w:pPr>
            <w:r>
              <w:rPr>
                <w:sz w:val="8"/>
              </w:rPr>
              <w:t>III.1.2.1 – Flexibilidade para definição do regime de regulação econômica</w:t>
            </w:r>
          </w:p>
        </w:tc>
        <w:tc>
          <w:tcPr>
            <w:tcW w:w="0" w:type="auto"/>
            <w:gridSpan w:val="2"/>
            <w:vMerge/>
            <w:tcBorders>
              <w:top w:val="nil"/>
              <w:left w:val="single" w:sz="3" w:space="0" w:color="000000"/>
              <w:bottom w:val="nil"/>
              <w:right w:val="nil"/>
            </w:tcBorders>
          </w:tcPr>
          <w:p w14:paraId="753056ED" w14:textId="77777777" w:rsidR="00541219" w:rsidRDefault="00541219">
            <w:pPr>
              <w:spacing w:after="160"/>
              <w:ind w:left="0" w:firstLine="0"/>
            </w:pPr>
          </w:p>
        </w:tc>
      </w:tr>
      <w:tr w:rsidR="00541219" w14:paraId="4C031E6B"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08FBD597" w14:textId="77777777" w:rsidR="00541219" w:rsidRDefault="00000000">
            <w:pPr>
              <w:spacing w:after="0"/>
              <w:ind w:left="0" w:firstLine="0"/>
            </w:pPr>
            <w:r>
              <w:rPr>
                <w:sz w:val="8"/>
              </w:rPr>
              <w:t xml:space="preserve">23. Para promover a modernização compatível com a prestação adequada do serviço de distribuição de energia elétrica, conforme o art. 6o da Lei 8.987, de </w:t>
            </w:r>
          </w:p>
          <w:p w14:paraId="403DC956" w14:textId="77777777" w:rsidR="00541219" w:rsidRDefault="00000000">
            <w:pPr>
              <w:spacing w:after="0"/>
              <w:ind w:left="0" w:firstLine="0"/>
            </w:pPr>
            <w:r>
              <w:rPr>
                <w:sz w:val="8"/>
              </w:rPr>
              <w:t>1995, é oportuno atualizar o contrato de concessão, incorporando flexibilidade que permita a inserção de inovações sem comprometer a qualidade do serviço.</w:t>
            </w:r>
          </w:p>
        </w:tc>
        <w:tc>
          <w:tcPr>
            <w:tcW w:w="0" w:type="auto"/>
            <w:gridSpan w:val="2"/>
            <w:vMerge/>
            <w:tcBorders>
              <w:top w:val="nil"/>
              <w:left w:val="single" w:sz="3" w:space="0" w:color="000000"/>
              <w:bottom w:val="nil"/>
              <w:right w:val="nil"/>
            </w:tcBorders>
          </w:tcPr>
          <w:p w14:paraId="1D61CD06" w14:textId="77777777" w:rsidR="00541219" w:rsidRDefault="00541219">
            <w:pPr>
              <w:spacing w:after="160"/>
              <w:ind w:left="0" w:firstLine="0"/>
            </w:pPr>
          </w:p>
        </w:tc>
      </w:tr>
      <w:tr w:rsidR="00541219" w14:paraId="7F1508B6"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2EB2D466" w14:textId="77777777" w:rsidR="00541219" w:rsidRDefault="00000000">
            <w:pPr>
              <w:spacing w:after="0"/>
              <w:ind w:left="0" w:right="199" w:firstLine="0"/>
              <w:jc w:val="both"/>
            </w:pPr>
            <w:r>
              <w:rPr>
                <w:sz w:val="8"/>
              </w:rPr>
              <w:t>24. As Notas Técnicas n° 14/2023/SAER/SE e n° 19/2023/SAER/SE, que subsidiaram o Decreto 12.068/24, ao discutir o novo papel das distribuidoras, destacam a importância de um arcabouço contratual adaptável aos desafios futuros, conforme mencionado nos parágrafos 4.3.0.8 e 4.11.2.2, respectivamente. Dessa forma, o Decreto estabeleceu que o contrato deve permitir que:</w:t>
            </w:r>
          </w:p>
        </w:tc>
        <w:tc>
          <w:tcPr>
            <w:tcW w:w="0" w:type="auto"/>
            <w:gridSpan w:val="2"/>
            <w:vMerge/>
            <w:tcBorders>
              <w:top w:val="nil"/>
              <w:left w:val="single" w:sz="3" w:space="0" w:color="000000"/>
              <w:bottom w:val="nil"/>
              <w:right w:val="nil"/>
            </w:tcBorders>
          </w:tcPr>
          <w:p w14:paraId="1D8B2B9E" w14:textId="77777777" w:rsidR="00541219" w:rsidRDefault="00541219">
            <w:pPr>
              <w:spacing w:after="160"/>
              <w:ind w:left="0" w:firstLine="0"/>
            </w:pPr>
          </w:p>
        </w:tc>
      </w:tr>
      <w:tr w:rsidR="00541219" w14:paraId="244A32E7"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64FC36C9" w14:textId="77777777" w:rsidR="00541219" w:rsidRDefault="00000000">
            <w:pPr>
              <w:spacing w:after="0"/>
              <w:ind w:left="497" w:firstLine="0"/>
            </w:pPr>
            <w:r>
              <w:rPr>
                <w:sz w:val="8"/>
              </w:rPr>
              <w:t xml:space="preserve">     a) se admita flexibilidade normativa para a definição do regime de regulação econômica que melhor se adapte à evolução do segmento de distribuição, facultado à Aneel promover o reconhecimento de custos de capital e de operação entre revisões tarifárias, de modo a favorecer a modernização dos serviços compatível com a prestação do serviço adequado de distribuição, preservado o princípio do equilíbrio </w:t>
            </w:r>
            <w:proofErr w:type="spellStart"/>
            <w:r>
              <w:rPr>
                <w:sz w:val="8"/>
              </w:rPr>
              <w:t>econômicofinanceiro</w:t>
            </w:r>
            <w:proofErr w:type="spellEnd"/>
            <w:r>
              <w:rPr>
                <w:sz w:val="8"/>
              </w:rPr>
              <w:t xml:space="preserve"> da concessão;</w:t>
            </w:r>
          </w:p>
        </w:tc>
        <w:tc>
          <w:tcPr>
            <w:tcW w:w="0" w:type="auto"/>
            <w:gridSpan w:val="2"/>
            <w:vMerge/>
            <w:tcBorders>
              <w:top w:val="nil"/>
              <w:left w:val="single" w:sz="3" w:space="0" w:color="000000"/>
              <w:bottom w:val="nil"/>
              <w:right w:val="nil"/>
            </w:tcBorders>
          </w:tcPr>
          <w:p w14:paraId="3ACEA2D9" w14:textId="77777777" w:rsidR="00541219" w:rsidRDefault="00541219">
            <w:pPr>
              <w:spacing w:after="160"/>
              <w:ind w:left="0" w:firstLine="0"/>
            </w:pPr>
          </w:p>
        </w:tc>
      </w:tr>
      <w:tr w:rsidR="00541219" w14:paraId="4FB69759"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4D8F9A1D" w14:textId="77777777" w:rsidR="00541219" w:rsidRDefault="00000000">
            <w:pPr>
              <w:spacing w:after="0"/>
              <w:ind w:left="0" w:right="3" w:firstLine="0"/>
            </w:pPr>
            <w:r>
              <w:rPr>
                <w:sz w:val="8"/>
              </w:rPr>
              <w:t>25. A proposta que será aqui apresentada deve, portanto, atender ao disposto no Decreto, conferindo maior flexibilidade ao contrato de concessão, ao permitir que a regulação econômica defina o modelo regulatório mais adequado às mudanças estruturais do setor e capture os ganhos advindos da modernização.</w:t>
            </w:r>
          </w:p>
        </w:tc>
        <w:tc>
          <w:tcPr>
            <w:tcW w:w="0" w:type="auto"/>
            <w:gridSpan w:val="2"/>
            <w:vMerge/>
            <w:tcBorders>
              <w:top w:val="nil"/>
              <w:left w:val="single" w:sz="3" w:space="0" w:color="000000"/>
              <w:bottom w:val="nil"/>
              <w:right w:val="nil"/>
            </w:tcBorders>
          </w:tcPr>
          <w:p w14:paraId="19182E58" w14:textId="77777777" w:rsidR="00541219" w:rsidRDefault="00541219">
            <w:pPr>
              <w:spacing w:after="160"/>
              <w:ind w:left="0" w:firstLine="0"/>
            </w:pPr>
          </w:p>
        </w:tc>
      </w:tr>
      <w:tr w:rsidR="00541219" w14:paraId="013C8527"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2AD8FFB5" w14:textId="77777777" w:rsidR="00541219" w:rsidRDefault="00000000">
            <w:pPr>
              <w:spacing w:after="0"/>
              <w:ind w:left="0" w:firstLine="0"/>
            </w:pPr>
            <w:r>
              <w:rPr>
                <w:sz w:val="8"/>
              </w:rPr>
              <w:t>26. Como primeiro ponto, sugere-se na Cláusula Sexta, que trata das Tarifas Aplicáveis, a inclusão de nova Subcláusula, prevendo a alteração do modelo de regulação. Como o Decreto trouxe que o contrato deve ser flexível para adoção de outro modelo, a concessionária, de forma a cumprir o disposto no Decreto, deve reconhecer a possibilidade de alteração do modelo:</w:t>
            </w:r>
          </w:p>
        </w:tc>
        <w:tc>
          <w:tcPr>
            <w:tcW w:w="0" w:type="auto"/>
            <w:gridSpan w:val="2"/>
            <w:vMerge/>
            <w:tcBorders>
              <w:top w:val="nil"/>
              <w:left w:val="single" w:sz="3" w:space="0" w:color="000000"/>
              <w:bottom w:val="nil"/>
              <w:right w:val="nil"/>
            </w:tcBorders>
          </w:tcPr>
          <w:p w14:paraId="61D69C71" w14:textId="77777777" w:rsidR="00541219" w:rsidRDefault="00541219">
            <w:pPr>
              <w:spacing w:after="160"/>
              <w:ind w:left="0" w:firstLine="0"/>
            </w:pPr>
          </w:p>
        </w:tc>
      </w:tr>
      <w:tr w:rsidR="00541219" w14:paraId="6B49AB8E"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09CCE471" w14:textId="77777777" w:rsidR="00541219" w:rsidRDefault="00000000">
            <w:pPr>
              <w:spacing w:after="0"/>
              <w:ind w:left="497" w:firstLine="0"/>
            </w:pPr>
            <w:r>
              <w:rPr>
                <w:sz w:val="8"/>
              </w:rPr>
              <w:t xml:space="preserve">     Subcláusula Vigésima Quarta - A DISTRIBUIDORA concorda com o disposto no inciso XV do art. 4o do Decreto 12.068, de 20 de junho de 2024, podendo a ANEEL revisar e adaptar o regime de regulação econômica aplicável ao presente contrato, prospectivamente.</w:t>
            </w:r>
          </w:p>
        </w:tc>
        <w:tc>
          <w:tcPr>
            <w:tcW w:w="0" w:type="auto"/>
            <w:gridSpan w:val="2"/>
            <w:vMerge/>
            <w:tcBorders>
              <w:top w:val="nil"/>
              <w:left w:val="single" w:sz="3" w:space="0" w:color="000000"/>
              <w:bottom w:val="nil"/>
              <w:right w:val="nil"/>
            </w:tcBorders>
          </w:tcPr>
          <w:p w14:paraId="14646A2B" w14:textId="77777777" w:rsidR="00541219" w:rsidRDefault="00541219">
            <w:pPr>
              <w:spacing w:after="160"/>
              <w:ind w:left="0" w:firstLine="0"/>
            </w:pPr>
          </w:p>
        </w:tc>
      </w:tr>
      <w:tr w:rsidR="00541219" w14:paraId="45636BD6" w14:textId="77777777">
        <w:trPr>
          <w:trHeight w:val="470"/>
        </w:trPr>
        <w:tc>
          <w:tcPr>
            <w:tcW w:w="5344" w:type="dxa"/>
            <w:tcBorders>
              <w:top w:val="single" w:sz="3" w:space="0" w:color="000000"/>
              <w:left w:val="single" w:sz="3" w:space="0" w:color="000000"/>
              <w:bottom w:val="single" w:sz="3" w:space="0" w:color="000000"/>
              <w:right w:val="single" w:sz="3" w:space="0" w:color="000000"/>
            </w:tcBorders>
          </w:tcPr>
          <w:p w14:paraId="04474410" w14:textId="77777777" w:rsidR="00541219" w:rsidRDefault="00000000">
            <w:pPr>
              <w:spacing w:after="0"/>
              <w:ind w:left="497" w:firstLine="0"/>
            </w:pPr>
            <w:r>
              <w:rPr>
                <w:sz w:val="8"/>
              </w:rPr>
              <w:t xml:space="preserve">     Parágrafo primeiro. A revisão do regime de regulação econômica considerará aspectos como: </w:t>
            </w:r>
          </w:p>
          <w:p w14:paraId="3D0AD109" w14:textId="77777777" w:rsidR="00541219" w:rsidRDefault="00000000">
            <w:pPr>
              <w:numPr>
                <w:ilvl w:val="0"/>
                <w:numId w:val="1"/>
              </w:numPr>
              <w:spacing w:after="0"/>
              <w:ind w:hanging="130"/>
            </w:pPr>
            <w:r>
              <w:rPr>
                <w:sz w:val="8"/>
              </w:rPr>
              <w:t xml:space="preserve">mudanças tecnológicas e inovações no setor de distribuição de energia elétrica; </w:t>
            </w:r>
          </w:p>
          <w:p w14:paraId="63021B16" w14:textId="77777777" w:rsidR="00541219" w:rsidRDefault="00000000">
            <w:pPr>
              <w:numPr>
                <w:ilvl w:val="0"/>
                <w:numId w:val="1"/>
              </w:numPr>
              <w:spacing w:after="0"/>
              <w:ind w:hanging="130"/>
            </w:pPr>
            <w:r>
              <w:rPr>
                <w:sz w:val="8"/>
              </w:rPr>
              <w:t xml:space="preserve">alterações na dinâmica de mercado e estrutura competitiva; </w:t>
            </w:r>
          </w:p>
          <w:p w14:paraId="62D60C82" w14:textId="77777777" w:rsidR="00541219" w:rsidRDefault="00000000">
            <w:pPr>
              <w:numPr>
                <w:ilvl w:val="0"/>
                <w:numId w:val="1"/>
              </w:numPr>
              <w:spacing w:after="0"/>
              <w:ind w:hanging="130"/>
            </w:pPr>
            <w:r>
              <w:rPr>
                <w:sz w:val="8"/>
              </w:rPr>
              <w:t xml:space="preserve">evoluções nas melhores práticas regulatórias; e </w:t>
            </w:r>
          </w:p>
          <w:p w14:paraId="48AAB82F" w14:textId="77777777" w:rsidR="00541219" w:rsidRDefault="00000000">
            <w:pPr>
              <w:numPr>
                <w:ilvl w:val="0"/>
                <w:numId w:val="1"/>
              </w:numPr>
              <w:spacing w:after="0"/>
              <w:ind w:hanging="130"/>
            </w:pPr>
            <w:r>
              <w:rPr>
                <w:sz w:val="8"/>
              </w:rPr>
              <w:t>necessidades de adequação aos objetivos de sustentabilidade e eficiência energética.</w:t>
            </w:r>
          </w:p>
        </w:tc>
        <w:tc>
          <w:tcPr>
            <w:tcW w:w="0" w:type="auto"/>
            <w:gridSpan w:val="2"/>
            <w:vMerge/>
            <w:tcBorders>
              <w:top w:val="nil"/>
              <w:left w:val="single" w:sz="3" w:space="0" w:color="000000"/>
              <w:bottom w:val="nil"/>
              <w:right w:val="nil"/>
            </w:tcBorders>
          </w:tcPr>
          <w:p w14:paraId="5868BE8F" w14:textId="77777777" w:rsidR="00541219" w:rsidRDefault="00541219">
            <w:pPr>
              <w:spacing w:after="160"/>
              <w:ind w:left="0" w:firstLine="0"/>
            </w:pPr>
          </w:p>
        </w:tc>
      </w:tr>
      <w:tr w:rsidR="00541219" w14:paraId="05EB31DC"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122CBC33" w14:textId="77777777" w:rsidR="00541219" w:rsidRDefault="00000000">
            <w:pPr>
              <w:spacing w:after="0"/>
              <w:ind w:left="497" w:firstLine="0"/>
            </w:pPr>
            <w:r>
              <w:rPr>
                <w:sz w:val="8"/>
              </w:rPr>
              <w:lastRenderedPageBreak/>
              <w:t xml:space="preserve">     Parágrafo segundo. Qualquer alteração no regime de regulação econômica será precedida do devido rito regulatório, conforme os procedimentos estabelecidos pela ANEEL.</w:t>
            </w:r>
          </w:p>
        </w:tc>
        <w:tc>
          <w:tcPr>
            <w:tcW w:w="0" w:type="auto"/>
            <w:gridSpan w:val="2"/>
            <w:vMerge/>
            <w:tcBorders>
              <w:top w:val="nil"/>
              <w:left w:val="single" w:sz="3" w:space="0" w:color="000000"/>
              <w:bottom w:val="nil"/>
              <w:right w:val="nil"/>
            </w:tcBorders>
          </w:tcPr>
          <w:p w14:paraId="593CA0A1" w14:textId="77777777" w:rsidR="00541219" w:rsidRDefault="00541219">
            <w:pPr>
              <w:spacing w:after="160"/>
              <w:ind w:left="0" w:firstLine="0"/>
            </w:pPr>
          </w:p>
        </w:tc>
      </w:tr>
      <w:tr w:rsidR="00541219" w14:paraId="4F2CBEE9"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2AE47195" w14:textId="77777777" w:rsidR="00541219" w:rsidRDefault="00000000">
            <w:pPr>
              <w:spacing w:after="0"/>
              <w:ind w:left="0" w:firstLine="0"/>
            </w:pPr>
            <w:r>
              <w:rPr>
                <w:sz w:val="8"/>
              </w:rPr>
              <w:t>27. Dado que há incertezas a respeito das mudanças que ocorrerão no setor elétrico, a regulação precisa ser adaptável, fornecendo sinais e garantindo o equilíbrio econômico-financeiro adequados aos agentes econômicos à medida que o setor evolui. Diversos regimes de regulação, cada um com suas vantagens e desvantagens, impactam a alocação de riscos de variação de mercado, aos estímulos à melhora da qualidade dos serviços, a eficiência energética e a gestão dos custos operacionais (OPEX) e de capital (CAPEX).</w:t>
            </w:r>
          </w:p>
        </w:tc>
        <w:tc>
          <w:tcPr>
            <w:tcW w:w="0" w:type="auto"/>
            <w:gridSpan w:val="2"/>
            <w:vMerge/>
            <w:tcBorders>
              <w:top w:val="nil"/>
              <w:left w:val="single" w:sz="3" w:space="0" w:color="000000"/>
              <w:bottom w:val="nil"/>
              <w:right w:val="nil"/>
            </w:tcBorders>
          </w:tcPr>
          <w:p w14:paraId="18E61E7F" w14:textId="77777777" w:rsidR="00541219" w:rsidRDefault="00541219">
            <w:pPr>
              <w:spacing w:after="160"/>
              <w:ind w:left="0" w:firstLine="0"/>
            </w:pPr>
          </w:p>
        </w:tc>
      </w:tr>
      <w:tr w:rsidR="00541219" w14:paraId="5A448AF3"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02A4C325" w14:textId="77777777" w:rsidR="00541219" w:rsidRDefault="00000000">
            <w:pPr>
              <w:spacing w:after="0"/>
              <w:ind w:left="0" w:right="44" w:firstLine="0"/>
              <w:jc w:val="both"/>
            </w:pPr>
            <w:r>
              <w:rPr>
                <w:sz w:val="8"/>
              </w:rPr>
              <w:t>28. Levando-se em conta, primeiramente, o que consta nas Leis 8.987/95 e 9.427/95, de que as tarifas cobradas pela contraprestação do serviço pela concessionária devem se basear no serviço pelo preço, e de que deve haver apropriação dos ganhos de eficiência empresarial e de competitividade, temos a caracterização de uma regulação por incentivos.</w:t>
            </w:r>
          </w:p>
        </w:tc>
        <w:tc>
          <w:tcPr>
            <w:tcW w:w="0" w:type="auto"/>
            <w:gridSpan w:val="2"/>
            <w:vMerge/>
            <w:tcBorders>
              <w:top w:val="nil"/>
              <w:left w:val="single" w:sz="3" w:space="0" w:color="000000"/>
              <w:bottom w:val="nil"/>
              <w:right w:val="nil"/>
            </w:tcBorders>
          </w:tcPr>
          <w:p w14:paraId="05DF1566" w14:textId="77777777" w:rsidR="00541219" w:rsidRDefault="00541219">
            <w:pPr>
              <w:spacing w:after="160"/>
              <w:ind w:left="0" w:firstLine="0"/>
            </w:pPr>
          </w:p>
        </w:tc>
      </w:tr>
      <w:tr w:rsidR="00541219" w14:paraId="6A67F837"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12937326" w14:textId="77777777" w:rsidR="00541219" w:rsidRDefault="00000000">
            <w:pPr>
              <w:spacing w:after="0"/>
              <w:ind w:left="0" w:firstLine="0"/>
            </w:pPr>
            <w:r>
              <w:rPr>
                <w:sz w:val="8"/>
              </w:rPr>
              <w:t xml:space="preserve">29. Entre os regimes de regulação por incentivos possíveis, destaca-se a adaptação do regime de preço-teto vigente, a adoção do regime de receita-teto ou modelos híbridos. Há também a possibilidade de adoção de ferramentas de </w:t>
            </w:r>
            <w:proofErr w:type="spellStart"/>
            <w:r>
              <w:rPr>
                <w:sz w:val="8"/>
              </w:rPr>
              <w:t>decoupling</w:t>
            </w:r>
            <w:proofErr w:type="spellEnd"/>
            <w:r>
              <w:rPr>
                <w:sz w:val="8"/>
              </w:rPr>
              <w:t>, que diminuem a relação direta entre a receita referente aos custos de distribuição do volume vendido pela concessionária.</w:t>
            </w:r>
          </w:p>
        </w:tc>
        <w:tc>
          <w:tcPr>
            <w:tcW w:w="0" w:type="auto"/>
            <w:gridSpan w:val="2"/>
            <w:vMerge/>
            <w:tcBorders>
              <w:top w:val="nil"/>
              <w:left w:val="single" w:sz="3" w:space="0" w:color="000000"/>
              <w:bottom w:val="nil"/>
              <w:right w:val="nil"/>
            </w:tcBorders>
          </w:tcPr>
          <w:p w14:paraId="3DB52C0E" w14:textId="77777777" w:rsidR="00541219" w:rsidRDefault="00541219">
            <w:pPr>
              <w:spacing w:after="160"/>
              <w:ind w:left="0" w:firstLine="0"/>
            </w:pPr>
          </w:p>
        </w:tc>
      </w:tr>
      <w:tr w:rsidR="00541219" w14:paraId="3F2BE75F"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31AA3BBC" w14:textId="77777777" w:rsidR="00541219" w:rsidRDefault="00000000">
            <w:pPr>
              <w:spacing w:after="0"/>
              <w:ind w:left="0" w:firstLine="0"/>
            </w:pPr>
            <w:r>
              <w:rPr>
                <w:sz w:val="8"/>
              </w:rPr>
              <w:t>30. Portanto, a aplicação de modelos de regulação por incentivos condizentes com as condições estruturais do setor promoverá maior adaptação e flexibilidade diante das mudanças e inovações tecnológicas que já se fazem presentes e as vindouras considerando um horizonte contratual de 30 anos.</w:t>
            </w:r>
          </w:p>
        </w:tc>
        <w:tc>
          <w:tcPr>
            <w:tcW w:w="0" w:type="auto"/>
            <w:gridSpan w:val="2"/>
            <w:vMerge/>
            <w:tcBorders>
              <w:top w:val="nil"/>
              <w:left w:val="single" w:sz="3" w:space="0" w:color="000000"/>
              <w:bottom w:val="nil"/>
              <w:right w:val="nil"/>
            </w:tcBorders>
          </w:tcPr>
          <w:p w14:paraId="6AC26865" w14:textId="77777777" w:rsidR="00541219" w:rsidRDefault="00541219">
            <w:pPr>
              <w:spacing w:after="160"/>
              <w:ind w:left="0" w:firstLine="0"/>
            </w:pPr>
          </w:p>
        </w:tc>
      </w:tr>
      <w:tr w:rsidR="00541219" w14:paraId="1D48008C"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12580AF2" w14:textId="77777777" w:rsidR="00541219" w:rsidRDefault="00000000">
            <w:pPr>
              <w:spacing w:after="0"/>
              <w:ind w:left="0" w:firstLine="0"/>
            </w:pPr>
            <w:r>
              <w:rPr>
                <w:sz w:val="8"/>
              </w:rPr>
              <w:t xml:space="preserve">31. O segundo ponto a ser proposto é a adaptação da Subcláusula Sexta, que traz as definições para o reposicionamento tarifário. O que se pretende aqui é retirar possíveis amarras no contrato no sentido de permitir essa adaptação de regime econômico ao longo do tempo, como o </w:t>
            </w:r>
            <w:proofErr w:type="spellStart"/>
            <w:r>
              <w:rPr>
                <w:sz w:val="8"/>
              </w:rPr>
              <w:t>Revenue</w:t>
            </w:r>
            <w:proofErr w:type="spellEnd"/>
            <w:r>
              <w:rPr>
                <w:sz w:val="8"/>
              </w:rPr>
              <w:t xml:space="preserve"> Cap (receita-teto), e remeter à regulação da ANEEL o detalhamento dessas adaptações. Associado a isto, a estruturação das tarifas aplicadas ao mercado deve estar em sinergia com o modelo regulatório da receita.</w:t>
            </w:r>
          </w:p>
        </w:tc>
        <w:tc>
          <w:tcPr>
            <w:tcW w:w="0" w:type="auto"/>
            <w:gridSpan w:val="2"/>
            <w:vMerge/>
            <w:tcBorders>
              <w:top w:val="nil"/>
              <w:left w:val="single" w:sz="3" w:space="0" w:color="000000"/>
              <w:bottom w:val="nil"/>
              <w:right w:val="nil"/>
            </w:tcBorders>
          </w:tcPr>
          <w:p w14:paraId="56A89AD0" w14:textId="77777777" w:rsidR="00541219" w:rsidRDefault="00541219">
            <w:pPr>
              <w:spacing w:after="160"/>
              <w:ind w:left="0" w:firstLine="0"/>
            </w:pPr>
          </w:p>
        </w:tc>
      </w:tr>
      <w:tr w:rsidR="00541219" w14:paraId="7220C16C"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6E49AC4F" w14:textId="77777777" w:rsidR="00541219" w:rsidRDefault="00000000">
            <w:pPr>
              <w:spacing w:after="0"/>
              <w:ind w:left="0" w:firstLine="0"/>
            </w:pPr>
            <w:r>
              <w:rPr>
                <w:sz w:val="8"/>
              </w:rPr>
              <w:t>32. Quanto ao fator X, é importante que a Subcláusula Décima Quinta seja mais flexível para que ele se adapte aos custos e benefícios decorrentes, por exemplo, da penetração de recursos energéticos distribuídos e da própria digitalização das redes.</w:t>
            </w:r>
          </w:p>
        </w:tc>
        <w:tc>
          <w:tcPr>
            <w:tcW w:w="0" w:type="auto"/>
            <w:gridSpan w:val="2"/>
            <w:vMerge/>
            <w:tcBorders>
              <w:top w:val="nil"/>
              <w:left w:val="single" w:sz="3" w:space="0" w:color="000000"/>
              <w:bottom w:val="nil"/>
              <w:right w:val="nil"/>
            </w:tcBorders>
          </w:tcPr>
          <w:p w14:paraId="1B644E69" w14:textId="77777777" w:rsidR="00541219" w:rsidRDefault="00541219">
            <w:pPr>
              <w:spacing w:after="160"/>
              <w:ind w:left="0" w:firstLine="0"/>
            </w:pPr>
          </w:p>
        </w:tc>
      </w:tr>
      <w:tr w:rsidR="00541219" w14:paraId="4896842B"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6DA93DAC" w14:textId="77777777" w:rsidR="00541219" w:rsidRDefault="00000000">
            <w:pPr>
              <w:spacing w:after="0"/>
              <w:ind w:left="0" w:firstLine="0"/>
            </w:pPr>
            <w:r>
              <w:rPr>
                <w:sz w:val="8"/>
              </w:rPr>
              <w:t>33. A redação proposta para as subcláusulas existentes é:</w:t>
            </w:r>
          </w:p>
        </w:tc>
        <w:tc>
          <w:tcPr>
            <w:tcW w:w="0" w:type="auto"/>
            <w:gridSpan w:val="2"/>
            <w:vMerge/>
            <w:tcBorders>
              <w:top w:val="nil"/>
              <w:left w:val="single" w:sz="3" w:space="0" w:color="000000"/>
              <w:bottom w:val="nil"/>
              <w:right w:val="nil"/>
            </w:tcBorders>
          </w:tcPr>
          <w:p w14:paraId="10AFEFFD" w14:textId="77777777" w:rsidR="00541219" w:rsidRDefault="00541219">
            <w:pPr>
              <w:spacing w:after="160"/>
              <w:ind w:left="0" w:firstLine="0"/>
            </w:pPr>
          </w:p>
        </w:tc>
      </w:tr>
      <w:tr w:rsidR="00541219" w14:paraId="461BFDF0"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5159357E" w14:textId="77777777" w:rsidR="00541219" w:rsidRDefault="00000000">
            <w:pPr>
              <w:spacing w:after="0"/>
              <w:ind w:left="497" w:firstLine="0"/>
            </w:pPr>
            <w:r>
              <w:rPr>
                <w:sz w:val="8"/>
              </w:rPr>
              <w:t xml:space="preserve">     Cláusula Sexta – TARIFAS APLICÁVEIS NA PRESTAÇÃO DO SERVIÇO: (...)</w:t>
            </w:r>
          </w:p>
          <w:p w14:paraId="666614BD" w14:textId="77777777" w:rsidR="00541219" w:rsidRDefault="00000000">
            <w:pPr>
              <w:spacing w:after="0"/>
              <w:ind w:left="497" w:firstLine="0"/>
            </w:pPr>
            <w:r>
              <w:rPr>
                <w:sz w:val="8"/>
              </w:rPr>
              <w:t xml:space="preserve">     Subcláusula Sexta:      (...)</w:t>
            </w:r>
          </w:p>
        </w:tc>
        <w:tc>
          <w:tcPr>
            <w:tcW w:w="0" w:type="auto"/>
            <w:gridSpan w:val="2"/>
            <w:vMerge/>
            <w:tcBorders>
              <w:top w:val="nil"/>
              <w:left w:val="single" w:sz="3" w:space="0" w:color="000000"/>
              <w:bottom w:val="nil"/>
              <w:right w:val="nil"/>
            </w:tcBorders>
          </w:tcPr>
          <w:p w14:paraId="75367B10" w14:textId="77777777" w:rsidR="00541219" w:rsidRDefault="00541219">
            <w:pPr>
              <w:spacing w:after="160"/>
              <w:ind w:left="0" w:firstLine="0"/>
            </w:pPr>
          </w:p>
        </w:tc>
      </w:tr>
      <w:tr w:rsidR="00541219" w14:paraId="35FF4584"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3AE9B408" w14:textId="77777777" w:rsidR="00541219" w:rsidRDefault="00000000">
            <w:pPr>
              <w:spacing w:after="0"/>
              <w:ind w:left="497" w:firstLine="0"/>
            </w:pPr>
            <w:r>
              <w:rPr>
                <w:sz w:val="8"/>
              </w:rPr>
              <w:t xml:space="preserve">     VPB: Valor resultante da atualização dos Itens que compõem a Parcela B, vigentes na Data de Referência Anterior, para a data do reajuste tarifário anual, utilizando a diferença entre o índice de variação da inflação (IVI) e o fator X, conforme critérios estabelecidos na regulação da ANEEL.</w:t>
            </w:r>
          </w:p>
          <w:p w14:paraId="32AC7A90" w14:textId="77777777" w:rsidR="00541219" w:rsidRDefault="00000000">
            <w:pPr>
              <w:spacing w:after="0"/>
              <w:ind w:left="497" w:firstLine="0"/>
            </w:pPr>
            <w:r>
              <w:rPr>
                <w:sz w:val="8"/>
              </w:rPr>
              <w:t xml:space="preserve">     (...)</w:t>
            </w:r>
          </w:p>
        </w:tc>
        <w:tc>
          <w:tcPr>
            <w:tcW w:w="0" w:type="auto"/>
            <w:gridSpan w:val="2"/>
            <w:vMerge/>
            <w:tcBorders>
              <w:top w:val="nil"/>
              <w:left w:val="single" w:sz="3" w:space="0" w:color="000000"/>
              <w:bottom w:val="nil"/>
              <w:right w:val="nil"/>
            </w:tcBorders>
          </w:tcPr>
          <w:p w14:paraId="1DE6B01F" w14:textId="77777777" w:rsidR="00541219" w:rsidRDefault="00541219">
            <w:pPr>
              <w:spacing w:after="160"/>
              <w:ind w:left="0" w:firstLine="0"/>
            </w:pPr>
          </w:p>
        </w:tc>
      </w:tr>
      <w:tr w:rsidR="00541219" w14:paraId="7D1E8F21"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1D1AB1E5" w14:textId="77777777" w:rsidR="00541219" w:rsidRDefault="00000000">
            <w:pPr>
              <w:spacing w:after="0"/>
              <w:ind w:left="497" w:firstLine="0"/>
            </w:pPr>
            <w:r>
              <w:rPr>
                <w:sz w:val="8"/>
              </w:rPr>
              <w:t xml:space="preserve">     Mercado de Referência: grandezas de faturamento, constituídas por valores monetários, número de consumidores, montantes de energia elétrica e demanda de potência associadas ao Período de Referência; e</w:t>
            </w:r>
          </w:p>
          <w:p w14:paraId="242768F9" w14:textId="77777777" w:rsidR="00541219" w:rsidRDefault="00000000">
            <w:pPr>
              <w:spacing w:after="0"/>
              <w:ind w:left="497" w:firstLine="0"/>
            </w:pPr>
            <w:r>
              <w:rPr>
                <w:sz w:val="8"/>
              </w:rPr>
              <w:t>Período de Referência: compreendem os últimos 12 (doze) meses faturados, conforme regulação da ANEEL.     (...)</w:t>
            </w:r>
          </w:p>
        </w:tc>
        <w:tc>
          <w:tcPr>
            <w:tcW w:w="0" w:type="auto"/>
            <w:gridSpan w:val="2"/>
            <w:vMerge/>
            <w:tcBorders>
              <w:top w:val="nil"/>
              <w:left w:val="single" w:sz="3" w:space="0" w:color="000000"/>
              <w:bottom w:val="nil"/>
              <w:right w:val="nil"/>
            </w:tcBorders>
          </w:tcPr>
          <w:p w14:paraId="16F2D693" w14:textId="77777777" w:rsidR="00541219" w:rsidRDefault="00541219">
            <w:pPr>
              <w:spacing w:after="160"/>
              <w:ind w:left="0" w:firstLine="0"/>
            </w:pPr>
          </w:p>
        </w:tc>
      </w:tr>
      <w:tr w:rsidR="00541219" w14:paraId="4C57CBDF"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1865DB01" w14:textId="77777777" w:rsidR="00541219" w:rsidRDefault="00000000">
            <w:pPr>
              <w:spacing w:after="0"/>
              <w:ind w:left="497" w:firstLine="0"/>
            </w:pPr>
            <w:r>
              <w:rPr>
                <w:sz w:val="8"/>
              </w:rPr>
              <w:t xml:space="preserve">     Subcláusula Décima Segunda:      (...)</w:t>
            </w:r>
          </w:p>
          <w:p w14:paraId="168F6C24" w14:textId="77777777" w:rsidR="00541219" w:rsidRDefault="00000000">
            <w:pPr>
              <w:spacing w:after="0"/>
              <w:ind w:left="497" w:firstLine="0"/>
            </w:pPr>
            <w:r>
              <w:rPr>
                <w:sz w:val="8"/>
              </w:rPr>
              <w:t xml:space="preserve">     VIII - As Parcelas de Remuneração do Capital, Quota de Reintegração Regulatória e Custos Operacionais poderão ser calculadas de forma conjunta em forma de Anuidade Regulatória (TOTEX), observando o disposto nos incisos I e VII desta Subcláusula, contemplando mecanismos de estímulo à gestão eficiente dos custos totais de operação e de capital.     (...)</w:t>
            </w:r>
          </w:p>
        </w:tc>
        <w:tc>
          <w:tcPr>
            <w:tcW w:w="0" w:type="auto"/>
            <w:gridSpan w:val="2"/>
            <w:vMerge/>
            <w:tcBorders>
              <w:top w:val="nil"/>
              <w:left w:val="single" w:sz="3" w:space="0" w:color="000000"/>
              <w:bottom w:val="nil"/>
              <w:right w:val="nil"/>
            </w:tcBorders>
          </w:tcPr>
          <w:p w14:paraId="17344C17" w14:textId="77777777" w:rsidR="00541219" w:rsidRDefault="00541219">
            <w:pPr>
              <w:spacing w:after="160"/>
              <w:ind w:left="0" w:firstLine="0"/>
            </w:pPr>
          </w:p>
        </w:tc>
      </w:tr>
      <w:tr w:rsidR="00541219" w14:paraId="5BD367EE"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5F3508B8" w14:textId="77777777" w:rsidR="00541219" w:rsidRDefault="00000000">
            <w:pPr>
              <w:spacing w:after="0"/>
              <w:ind w:left="497" w:firstLine="0"/>
            </w:pPr>
            <w:r>
              <w:rPr>
                <w:sz w:val="8"/>
              </w:rPr>
              <w:t xml:space="preserve">     Subcláusula Décima Quinta – Nos processos tarifários serão estabelecidos os valores ou a forma de cálculo do Fator X, com o objetivo de repassar aos usuários ganhos de produtividade observados no setor de distribuição de energia elétrica e resultados decorrentes de mecanismos de incentivo, que poderão contemplar estímulos à melhora na qualidade do serviço, à eficiência energética e à modernização das redes, conforme regulação da ANEEL.</w:t>
            </w:r>
          </w:p>
        </w:tc>
        <w:tc>
          <w:tcPr>
            <w:tcW w:w="0" w:type="auto"/>
            <w:gridSpan w:val="2"/>
            <w:vMerge/>
            <w:tcBorders>
              <w:top w:val="nil"/>
              <w:left w:val="single" w:sz="3" w:space="0" w:color="000000"/>
              <w:bottom w:val="nil"/>
              <w:right w:val="nil"/>
            </w:tcBorders>
          </w:tcPr>
          <w:p w14:paraId="109C6B77" w14:textId="77777777" w:rsidR="00541219" w:rsidRDefault="00541219">
            <w:pPr>
              <w:spacing w:after="160"/>
              <w:ind w:left="0" w:firstLine="0"/>
            </w:pPr>
          </w:p>
        </w:tc>
      </w:tr>
      <w:tr w:rsidR="00541219" w14:paraId="03A85294"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5846FC09" w14:textId="77777777" w:rsidR="00541219" w:rsidRDefault="00000000">
            <w:pPr>
              <w:spacing w:after="0"/>
              <w:ind w:left="0" w:firstLine="0"/>
            </w:pPr>
            <w:r>
              <w:rPr>
                <w:sz w:val="8"/>
              </w:rPr>
              <w:t>34. A primeira alteração diz respeito ao conceito de Parcela B, cujos contratos assinados pós</w:t>
            </w:r>
          </w:p>
          <w:p w14:paraId="363FD8A9" w14:textId="77777777" w:rsidR="00541219" w:rsidRDefault="00000000">
            <w:pPr>
              <w:spacing w:after="0"/>
              <w:ind w:left="0" w:right="10" w:firstLine="0"/>
            </w:pPr>
            <w:r>
              <w:rPr>
                <w:sz w:val="8"/>
              </w:rPr>
              <w:t>Lei no 12.783, de 11 de janeiro de 2013, a definem como a multiplicação entre as tarifas de aplicação dos itens de Parcela B, vigentes na Data de Referência Anterior, e o mercado de referência.</w:t>
            </w:r>
          </w:p>
        </w:tc>
        <w:tc>
          <w:tcPr>
            <w:tcW w:w="0" w:type="auto"/>
            <w:gridSpan w:val="2"/>
            <w:vMerge/>
            <w:tcBorders>
              <w:top w:val="nil"/>
              <w:left w:val="single" w:sz="3" w:space="0" w:color="000000"/>
              <w:bottom w:val="nil"/>
              <w:right w:val="nil"/>
            </w:tcBorders>
          </w:tcPr>
          <w:p w14:paraId="4A679ABE" w14:textId="77777777" w:rsidR="00541219" w:rsidRDefault="00541219">
            <w:pPr>
              <w:spacing w:after="160"/>
              <w:ind w:left="0" w:firstLine="0"/>
            </w:pPr>
          </w:p>
        </w:tc>
      </w:tr>
      <w:tr w:rsidR="00541219" w14:paraId="57F79106"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6B74AC4A" w14:textId="77777777" w:rsidR="00541219" w:rsidRDefault="00000000">
            <w:pPr>
              <w:spacing w:after="0"/>
              <w:ind w:left="0" w:firstLine="0"/>
            </w:pPr>
            <w:r>
              <w:rPr>
                <w:sz w:val="8"/>
              </w:rPr>
              <w:t>35. Tendo em vista que a receita de Parcela B, atualizada pela inflação e Fator X, é alocada entre o mesmo mercado de referência, resultando nas tarifas atualizadas, a tarifa do consumidor não é ou sofre pouca influência do mercado realizado, sendo a concessionária a mais impactada pela variação de mercado entre o processo anterior e atual. Grosso modo, a tarifa de Parcela B é também atualizada pela inflação e Fator X, constituindo-se em um modelo de preço-teto.</w:t>
            </w:r>
          </w:p>
        </w:tc>
        <w:tc>
          <w:tcPr>
            <w:tcW w:w="0" w:type="auto"/>
            <w:gridSpan w:val="2"/>
            <w:vMerge/>
            <w:tcBorders>
              <w:top w:val="nil"/>
              <w:left w:val="single" w:sz="3" w:space="0" w:color="000000"/>
              <w:bottom w:val="nil"/>
              <w:right w:val="nil"/>
            </w:tcBorders>
          </w:tcPr>
          <w:p w14:paraId="76027962" w14:textId="77777777" w:rsidR="00541219" w:rsidRDefault="00541219">
            <w:pPr>
              <w:spacing w:after="160"/>
              <w:ind w:left="0" w:firstLine="0"/>
            </w:pPr>
          </w:p>
        </w:tc>
      </w:tr>
    </w:tbl>
    <w:p w14:paraId="4F8366B9" w14:textId="77777777" w:rsidR="00541219" w:rsidRDefault="00541219">
      <w:pPr>
        <w:spacing w:after="0"/>
        <w:ind w:left="-1440" w:right="8609" w:firstLine="0"/>
      </w:pPr>
    </w:p>
    <w:tbl>
      <w:tblPr>
        <w:tblStyle w:val="TableGrid"/>
        <w:tblW w:w="10264" w:type="dxa"/>
        <w:tblInd w:w="-688" w:type="dxa"/>
        <w:tblCellMar>
          <w:top w:w="0" w:type="dxa"/>
          <w:left w:w="19" w:type="dxa"/>
          <w:bottom w:w="0" w:type="dxa"/>
          <w:right w:w="19" w:type="dxa"/>
        </w:tblCellMar>
        <w:tblLook w:val="04A0" w:firstRow="1" w:lastRow="0" w:firstColumn="1" w:lastColumn="0" w:noHBand="0" w:noVBand="1"/>
      </w:tblPr>
      <w:tblGrid>
        <w:gridCol w:w="5344"/>
        <w:gridCol w:w="1229"/>
        <w:gridCol w:w="3691"/>
      </w:tblGrid>
      <w:tr w:rsidR="00541219" w14:paraId="0C2217FD" w14:textId="77777777">
        <w:trPr>
          <w:trHeight w:val="150"/>
        </w:trPr>
        <w:tc>
          <w:tcPr>
            <w:tcW w:w="10264" w:type="dxa"/>
            <w:gridSpan w:val="3"/>
            <w:tcBorders>
              <w:top w:val="single" w:sz="6" w:space="0" w:color="000000"/>
              <w:left w:val="single" w:sz="6" w:space="0" w:color="000000"/>
              <w:bottom w:val="single" w:sz="3" w:space="0" w:color="000000"/>
              <w:right w:val="single" w:sz="6" w:space="0" w:color="000000"/>
            </w:tcBorders>
          </w:tcPr>
          <w:p w14:paraId="7F08B559" w14:textId="77777777" w:rsidR="00541219" w:rsidRDefault="00000000">
            <w:pPr>
              <w:spacing w:after="0"/>
              <w:ind w:left="16" w:firstLine="0"/>
              <w:jc w:val="center"/>
            </w:pPr>
            <w:r>
              <w:rPr>
                <w:color w:val="0000FF"/>
                <w:sz w:val="12"/>
              </w:rPr>
              <w:t>CONTRIBUIÇÃO REFERENTE À CONSULTA PÚBLICA Nº 27/2024</w:t>
            </w:r>
          </w:p>
        </w:tc>
      </w:tr>
      <w:tr w:rsidR="00541219" w14:paraId="59D987A7" w14:textId="77777777">
        <w:trPr>
          <w:trHeight w:val="149"/>
        </w:trPr>
        <w:tc>
          <w:tcPr>
            <w:tcW w:w="10264" w:type="dxa"/>
            <w:gridSpan w:val="3"/>
            <w:tcBorders>
              <w:top w:val="single" w:sz="3" w:space="0" w:color="000000"/>
              <w:left w:val="single" w:sz="6" w:space="0" w:color="000000"/>
              <w:bottom w:val="single" w:sz="3" w:space="0" w:color="000000"/>
              <w:right w:val="single" w:sz="6" w:space="0" w:color="000000"/>
            </w:tcBorders>
          </w:tcPr>
          <w:p w14:paraId="12FEF3BE" w14:textId="77777777" w:rsidR="00541219" w:rsidRDefault="00000000">
            <w:pPr>
              <w:spacing w:after="0"/>
              <w:ind w:left="3" w:firstLine="0"/>
              <w:jc w:val="center"/>
            </w:pPr>
            <w:r>
              <w:rPr>
                <w:color w:val="0000FF"/>
                <w:sz w:val="12"/>
              </w:rPr>
              <w:t>NOME DA INSTITUIÇÃO: CONCEN Conselho de Consumidores da Energisa Mato Grosso do Sul</w:t>
            </w:r>
          </w:p>
        </w:tc>
      </w:tr>
      <w:tr w:rsidR="00541219" w14:paraId="785300F6" w14:textId="77777777">
        <w:trPr>
          <w:trHeight w:val="149"/>
        </w:trPr>
        <w:tc>
          <w:tcPr>
            <w:tcW w:w="10264" w:type="dxa"/>
            <w:gridSpan w:val="3"/>
            <w:tcBorders>
              <w:top w:val="single" w:sz="3" w:space="0" w:color="000000"/>
              <w:left w:val="single" w:sz="6" w:space="0" w:color="000000"/>
              <w:bottom w:val="single" w:sz="3" w:space="0" w:color="000000"/>
              <w:right w:val="single" w:sz="6" w:space="0" w:color="000000"/>
            </w:tcBorders>
          </w:tcPr>
          <w:p w14:paraId="09360463" w14:textId="77777777" w:rsidR="00541219" w:rsidRDefault="00000000">
            <w:pPr>
              <w:tabs>
                <w:tab w:val="center" w:pos="626"/>
                <w:tab w:val="center" w:pos="5122"/>
              </w:tabs>
              <w:spacing w:after="0"/>
              <w:ind w:left="0" w:firstLine="0"/>
            </w:pPr>
            <w:r>
              <w:rPr>
                <w:rFonts w:ascii="Calibri" w:eastAsia="Calibri" w:hAnsi="Calibri" w:cs="Calibri"/>
                <w:sz w:val="22"/>
              </w:rPr>
              <w:tab/>
            </w:r>
            <w:r>
              <w:rPr>
                <w:noProof/>
              </w:rPr>
              <w:drawing>
                <wp:inline distT="0" distB="0" distL="0" distR="0" wp14:anchorId="66A2D575" wp14:editId="0FE3C718">
                  <wp:extent cx="585216" cy="362712"/>
                  <wp:effectExtent l="0" t="0" r="0" b="0"/>
                  <wp:docPr id="1098" name="Picture 1098"/>
                  <wp:cNvGraphicFramePr/>
                  <a:graphic xmlns:a="http://schemas.openxmlformats.org/drawingml/2006/main">
                    <a:graphicData uri="http://schemas.openxmlformats.org/drawingml/2006/picture">
                      <pic:pic xmlns:pic="http://schemas.openxmlformats.org/drawingml/2006/picture">
                        <pic:nvPicPr>
                          <pic:cNvPr id="1098" name="Picture 1098"/>
                          <pic:cNvPicPr/>
                        </pic:nvPicPr>
                        <pic:blipFill>
                          <a:blip r:embed="rId5"/>
                          <a:stretch>
                            <a:fillRect/>
                          </a:stretch>
                        </pic:blipFill>
                        <pic:spPr>
                          <a:xfrm>
                            <a:off x="0" y="0"/>
                            <a:ext cx="585216" cy="362712"/>
                          </a:xfrm>
                          <a:prstGeom prst="rect">
                            <a:avLst/>
                          </a:prstGeom>
                        </pic:spPr>
                      </pic:pic>
                    </a:graphicData>
                  </a:graphic>
                </wp:inline>
              </w:drawing>
            </w:r>
            <w:r>
              <w:rPr>
                <w:color w:val="0000FF"/>
                <w:sz w:val="12"/>
              </w:rPr>
              <w:tab/>
              <w:t>AGÊNCIA NACIONAL DE ENERGIA ELÉTRICA – ANEEL</w:t>
            </w:r>
          </w:p>
        </w:tc>
      </w:tr>
      <w:tr w:rsidR="00541219" w14:paraId="1F566889" w14:textId="77777777">
        <w:trPr>
          <w:trHeight w:val="178"/>
        </w:trPr>
        <w:tc>
          <w:tcPr>
            <w:tcW w:w="10264" w:type="dxa"/>
            <w:gridSpan w:val="3"/>
            <w:tcBorders>
              <w:top w:val="single" w:sz="3" w:space="0" w:color="000000"/>
              <w:left w:val="single" w:sz="6" w:space="0" w:color="000000"/>
              <w:bottom w:val="single" w:sz="3" w:space="0" w:color="000000"/>
              <w:right w:val="single" w:sz="6" w:space="0" w:color="000000"/>
            </w:tcBorders>
          </w:tcPr>
          <w:p w14:paraId="2358C3A5" w14:textId="77777777" w:rsidR="00541219" w:rsidRDefault="00000000">
            <w:pPr>
              <w:spacing w:after="0"/>
              <w:ind w:left="14" w:firstLine="0"/>
              <w:jc w:val="center"/>
            </w:pPr>
            <w:r>
              <w:rPr>
                <w:color w:val="0000FF"/>
              </w:rPr>
              <w:t>NOTA TÉCNICA nº 1.056/2024-SCE-SFF-SFT-SMA-STE-STD-STR/ANEEL de 09 de outubro de 2024.</w:t>
            </w:r>
          </w:p>
        </w:tc>
      </w:tr>
      <w:tr w:rsidR="00541219" w14:paraId="647BA32F" w14:textId="77777777">
        <w:trPr>
          <w:trHeight w:val="194"/>
        </w:trPr>
        <w:tc>
          <w:tcPr>
            <w:tcW w:w="10264" w:type="dxa"/>
            <w:gridSpan w:val="3"/>
            <w:tcBorders>
              <w:top w:val="single" w:sz="3" w:space="0" w:color="000000"/>
              <w:left w:val="single" w:sz="6" w:space="0" w:color="000000"/>
              <w:bottom w:val="single" w:sz="3" w:space="0" w:color="000000"/>
              <w:right w:val="single" w:sz="6" w:space="0" w:color="000000"/>
            </w:tcBorders>
          </w:tcPr>
          <w:p w14:paraId="50F51035" w14:textId="77777777" w:rsidR="00541219" w:rsidRDefault="00000000">
            <w:pPr>
              <w:spacing w:after="0"/>
              <w:ind w:left="1" w:firstLine="0"/>
              <w:jc w:val="center"/>
            </w:pPr>
            <w:r>
              <w:rPr>
                <w:color w:val="0000FF"/>
              </w:rPr>
              <w:t xml:space="preserve">                                                               EMENTA: Obter subsídios para o aprimoramento da minuta de termo aditivo ao contrato de concessão de distribuição de energia elétrica com vistas à prorrogação das concessões.</w:t>
            </w:r>
          </w:p>
        </w:tc>
      </w:tr>
      <w:tr w:rsidR="00541219" w14:paraId="30FEB6E9" w14:textId="77777777">
        <w:trPr>
          <w:trHeight w:val="132"/>
        </w:trPr>
        <w:tc>
          <w:tcPr>
            <w:tcW w:w="10264" w:type="dxa"/>
            <w:gridSpan w:val="3"/>
            <w:tcBorders>
              <w:top w:val="single" w:sz="3" w:space="0" w:color="000000"/>
              <w:left w:val="single" w:sz="6" w:space="0" w:color="000000"/>
              <w:bottom w:val="single" w:sz="3" w:space="0" w:color="000000"/>
              <w:right w:val="single" w:sz="6" w:space="0" w:color="000000"/>
            </w:tcBorders>
          </w:tcPr>
          <w:p w14:paraId="76302B6C" w14:textId="77777777" w:rsidR="00541219" w:rsidRDefault="00000000">
            <w:pPr>
              <w:spacing w:after="0"/>
              <w:ind w:left="1" w:firstLine="0"/>
              <w:jc w:val="center"/>
            </w:pPr>
            <w:r>
              <w:rPr>
                <w:color w:val="0000FF"/>
                <w:sz w:val="11"/>
              </w:rPr>
              <w:t>CONTRIBUIÇÕES RECEBIDAS</w:t>
            </w:r>
          </w:p>
        </w:tc>
      </w:tr>
      <w:tr w:rsidR="00541219" w14:paraId="5F825103" w14:textId="77777777">
        <w:trPr>
          <w:trHeight w:val="275"/>
        </w:trPr>
        <w:tc>
          <w:tcPr>
            <w:tcW w:w="10264" w:type="dxa"/>
            <w:gridSpan w:val="3"/>
            <w:tcBorders>
              <w:top w:val="single" w:sz="3" w:space="0" w:color="000000"/>
              <w:left w:val="single" w:sz="6" w:space="0" w:color="000000"/>
              <w:bottom w:val="single" w:sz="6" w:space="0" w:color="000000"/>
              <w:right w:val="single" w:sz="6" w:space="0" w:color="000000"/>
            </w:tcBorders>
          </w:tcPr>
          <w:p w14:paraId="36BBD90B" w14:textId="77777777" w:rsidR="00541219" w:rsidRDefault="00000000">
            <w:pPr>
              <w:spacing w:after="0"/>
              <w:ind w:left="0" w:firstLine="0"/>
            </w:pPr>
            <w:r>
              <w:t>IMPORTANTE: Os comentários e sugestões referentes às contribuições deverão ser fundamentados e justificados, mencionando-se os artigos, parágrafos e incisos a que se referem, devendo ser acompanhados de textos alternativos e substitutivos quando envolverem sugestões de inclusão ou alteração, parcial ou total, de qualquer dispositivo.</w:t>
            </w:r>
          </w:p>
        </w:tc>
      </w:tr>
      <w:tr w:rsidR="00541219" w14:paraId="4D92C397" w14:textId="77777777">
        <w:trPr>
          <w:trHeight w:val="213"/>
        </w:trPr>
        <w:tc>
          <w:tcPr>
            <w:tcW w:w="5344" w:type="dxa"/>
            <w:tcBorders>
              <w:top w:val="single" w:sz="6" w:space="0" w:color="000000"/>
              <w:left w:val="single" w:sz="6" w:space="0" w:color="000000"/>
              <w:bottom w:val="double" w:sz="4" w:space="0" w:color="000000"/>
              <w:right w:val="single" w:sz="6" w:space="0" w:color="000000"/>
            </w:tcBorders>
            <w:shd w:val="clear" w:color="auto" w:fill="FF0000"/>
          </w:tcPr>
          <w:p w14:paraId="256ACE03" w14:textId="77777777" w:rsidR="00541219" w:rsidRDefault="00000000">
            <w:pPr>
              <w:spacing w:after="0"/>
              <w:ind w:left="2" w:firstLine="0"/>
              <w:jc w:val="center"/>
            </w:pPr>
            <w:r>
              <w:rPr>
                <w:color w:val="FFFFFF"/>
                <w:sz w:val="11"/>
              </w:rPr>
              <w:t xml:space="preserve">TEXTO/ANEEL </w:t>
            </w:r>
          </w:p>
        </w:tc>
        <w:tc>
          <w:tcPr>
            <w:tcW w:w="1229" w:type="dxa"/>
            <w:tcBorders>
              <w:top w:val="single" w:sz="6" w:space="0" w:color="000000"/>
              <w:left w:val="single" w:sz="6" w:space="0" w:color="000000"/>
              <w:bottom w:val="single" w:sz="6" w:space="0" w:color="000000"/>
              <w:right w:val="single" w:sz="6" w:space="0" w:color="000000"/>
            </w:tcBorders>
            <w:shd w:val="clear" w:color="auto" w:fill="FF0000"/>
          </w:tcPr>
          <w:p w14:paraId="0D6E0E7A" w14:textId="77777777" w:rsidR="00541219" w:rsidRDefault="00000000">
            <w:pPr>
              <w:spacing w:after="0"/>
              <w:ind w:left="70" w:firstLine="0"/>
            </w:pPr>
            <w:r>
              <w:rPr>
                <w:color w:val="FFFFFF"/>
                <w:sz w:val="11"/>
              </w:rPr>
              <w:t>TEXTO/INSTITUIÇÃO</w:t>
            </w:r>
          </w:p>
        </w:tc>
        <w:tc>
          <w:tcPr>
            <w:tcW w:w="3691" w:type="dxa"/>
            <w:tcBorders>
              <w:top w:val="single" w:sz="6" w:space="0" w:color="000000"/>
              <w:left w:val="single" w:sz="6" w:space="0" w:color="000000"/>
              <w:bottom w:val="single" w:sz="6" w:space="0" w:color="000000"/>
              <w:right w:val="single" w:sz="6" w:space="0" w:color="000000"/>
            </w:tcBorders>
            <w:shd w:val="clear" w:color="auto" w:fill="FF0000"/>
          </w:tcPr>
          <w:p w14:paraId="522E1970" w14:textId="77777777" w:rsidR="00541219" w:rsidRDefault="00000000">
            <w:pPr>
              <w:spacing w:after="0"/>
              <w:ind w:left="21" w:firstLine="0"/>
              <w:jc w:val="center"/>
            </w:pPr>
            <w:r>
              <w:rPr>
                <w:color w:val="FFFFFF"/>
                <w:sz w:val="11"/>
              </w:rPr>
              <w:t>JUSTIFICATIVA/INSTITUIÇÃO</w:t>
            </w:r>
          </w:p>
        </w:tc>
      </w:tr>
      <w:tr w:rsidR="00541219" w14:paraId="24AFB9E2" w14:textId="77777777">
        <w:trPr>
          <w:trHeight w:val="292"/>
        </w:trPr>
        <w:tc>
          <w:tcPr>
            <w:tcW w:w="5344" w:type="dxa"/>
            <w:tcBorders>
              <w:top w:val="double" w:sz="4" w:space="0" w:color="000000"/>
              <w:left w:val="single" w:sz="3" w:space="0" w:color="000000"/>
              <w:bottom w:val="single" w:sz="3" w:space="0" w:color="000000"/>
              <w:right w:val="single" w:sz="3" w:space="0" w:color="000000"/>
            </w:tcBorders>
          </w:tcPr>
          <w:p w14:paraId="126652E5" w14:textId="77777777" w:rsidR="00541219" w:rsidRDefault="00000000">
            <w:pPr>
              <w:spacing w:after="0"/>
              <w:ind w:left="0" w:firstLine="0"/>
            </w:pPr>
            <w:r>
              <w:rPr>
                <w:sz w:val="8"/>
              </w:rPr>
              <w:t>36. Nos contratos de concessão das distribuidoras que serão objeto de prorrogação, a Parcela B é calculada pela diferença entre a receita realizada e a Parcela A da Data de Referência Anterior, antes de ser atualizada pela inflação e Fator X; ou seja, é também impactada pelo descasamento entre a receita faturada e a despesa de itens de Parcela A.</w:t>
            </w:r>
          </w:p>
        </w:tc>
        <w:tc>
          <w:tcPr>
            <w:tcW w:w="4920" w:type="dxa"/>
            <w:gridSpan w:val="2"/>
            <w:vMerge w:val="restart"/>
            <w:tcBorders>
              <w:top w:val="single" w:sz="6" w:space="0" w:color="000000"/>
              <w:left w:val="single" w:sz="3" w:space="0" w:color="000000"/>
              <w:bottom w:val="single" w:sz="3" w:space="0" w:color="000000"/>
              <w:right w:val="nil"/>
            </w:tcBorders>
          </w:tcPr>
          <w:p w14:paraId="7A86E943" w14:textId="77777777" w:rsidR="00541219" w:rsidRDefault="00541219">
            <w:pPr>
              <w:spacing w:after="160"/>
              <w:ind w:left="0" w:firstLine="0"/>
            </w:pPr>
          </w:p>
        </w:tc>
      </w:tr>
      <w:tr w:rsidR="00541219" w14:paraId="37BAE730"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047AE766" w14:textId="77777777" w:rsidR="00541219" w:rsidRDefault="00000000">
            <w:pPr>
              <w:spacing w:after="0"/>
              <w:ind w:left="0" w:firstLine="0"/>
            </w:pPr>
            <w:r>
              <w:rPr>
                <w:sz w:val="8"/>
              </w:rPr>
              <w:t>37. Este descasamento é parcialmente corrigido pelo cálculo da neutralidade dos encargos setoriais. O cálculo da Parcela B por diferença acaba sendo impactado indiretamente pela variação entre o mercado utilizado no processo tarifário anterior e o do período de referência; portanto, outro risco assumido pela concessionária.</w:t>
            </w:r>
          </w:p>
        </w:tc>
        <w:tc>
          <w:tcPr>
            <w:tcW w:w="0" w:type="auto"/>
            <w:gridSpan w:val="2"/>
            <w:vMerge/>
            <w:tcBorders>
              <w:top w:val="nil"/>
              <w:left w:val="single" w:sz="3" w:space="0" w:color="000000"/>
              <w:bottom w:val="nil"/>
              <w:right w:val="nil"/>
            </w:tcBorders>
          </w:tcPr>
          <w:p w14:paraId="7A0BF4CA" w14:textId="77777777" w:rsidR="00541219" w:rsidRDefault="00541219">
            <w:pPr>
              <w:spacing w:after="160"/>
              <w:ind w:left="0" w:firstLine="0"/>
            </w:pPr>
          </w:p>
        </w:tc>
      </w:tr>
      <w:tr w:rsidR="00541219" w14:paraId="06AF5EF0" w14:textId="77777777">
        <w:trPr>
          <w:trHeight w:val="634"/>
        </w:trPr>
        <w:tc>
          <w:tcPr>
            <w:tcW w:w="5344" w:type="dxa"/>
            <w:tcBorders>
              <w:top w:val="single" w:sz="3" w:space="0" w:color="000000"/>
              <w:left w:val="single" w:sz="3" w:space="0" w:color="000000"/>
              <w:bottom w:val="single" w:sz="3" w:space="0" w:color="000000"/>
              <w:right w:val="single" w:sz="3" w:space="0" w:color="000000"/>
            </w:tcBorders>
          </w:tcPr>
          <w:p w14:paraId="1843F561" w14:textId="77777777" w:rsidR="00541219" w:rsidRDefault="00000000">
            <w:pPr>
              <w:spacing w:after="0"/>
              <w:ind w:left="0" w:firstLine="0"/>
            </w:pPr>
            <w:r>
              <w:rPr>
                <w:sz w:val="8"/>
              </w:rPr>
              <w:t>38. A redação proposta visa tornar o conceito de Parcela B no contrato de concessão mais amplo, de modo que seja possível manter a sistemática dos contratos assinados pós Lei nº 12.783/2013, que tem o enfoque nas tarifas; ou que se construa um conceito de receita de referência de Parcela B desvinculada da receita faturada. A receita de referência pode ser calculada por métricas, em grande medida, desvinculadas do volume de energia vendida, como número de consumidores, km de rede, potência etc. ou pode incluir a própria energia consumida ou entregue, mas que não seja necessariamente a única ou principal variável.</w:t>
            </w:r>
          </w:p>
        </w:tc>
        <w:tc>
          <w:tcPr>
            <w:tcW w:w="0" w:type="auto"/>
            <w:gridSpan w:val="2"/>
            <w:vMerge/>
            <w:tcBorders>
              <w:top w:val="nil"/>
              <w:left w:val="single" w:sz="3" w:space="0" w:color="000000"/>
              <w:bottom w:val="nil"/>
              <w:right w:val="nil"/>
            </w:tcBorders>
          </w:tcPr>
          <w:p w14:paraId="02295505" w14:textId="77777777" w:rsidR="00541219" w:rsidRDefault="00541219">
            <w:pPr>
              <w:spacing w:after="160"/>
              <w:ind w:left="0" w:firstLine="0"/>
            </w:pPr>
          </w:p>
        </w:tc>
      </w:tr>
      <w:tr w:rsidR="00541219" w14:paraId="470C122E" w14:textId="77777777">
        <w:trPr>
          <w:trHeight w:val="470"/>
        </w:trPr>
        <w:tc>
          <w:tcPr>
            <w:tcW w:w="5344" w:type="dxa"/>
            <w:tcBorders>
              <w:top w:val="single" w:sz="3" w:space="0" w:color="000000"/>
              <w:left w:val="single" w:sz="3" w:space="0" w:color="000000"/>
              <w:bottom w:val="single" w:sz="3" w:space="0" w:color="000000"/>
              <w:right w:val="single" w:sz="3" w:space="0" w:color="000000"/>
            </w:tcBorders>
          </w:tcPr>
          <w:p w14:paraId="10D9C08F" w14:textId="77777777" w:rsidR="00541219" w:rsidRDefault="00000000">
            <w:pPr>
              <w:spacing w:after="0"/>
              <w:ind w:left="0" w:firstLine="0"/>
            </w:pPr>
            <w:r>
              <w:rPr>
                <w:sz w:val="8"/>
              </w:rPr>
              <w:t xml:space="preserve">39. Definir uma receita que contemple mais de uma dimensão de custo garante uma receita suficiente para a prestação do serviço e ao mesmo tempo elimina os riscos de mercado incorridos pela concessionária, hoje especialmente decorrente da geração distribuída. É possível também adotar um modelo híbrido, permitindo que algum risco de mercado seja mantido com a concessionária, nível esse que pode ser definido conforme a característica de cada concessão ou acordado com a empresa. A definição da receita seguiria critérios e procedimentos estabelecidos em âmbito de </w:t>
            </w:r>
            <w:proofErr w:type="spellStart"/>
            <w:r>
              <w:rPr>
                <w:sz w:val="8"/>
              </w:rPr>
              <w:t>Proret</w:t>
            </w:r>
            <w:proofErr w:type="spellEnd"/>
            <w:r>
              <w:rPr>
                <w:sz w:val="8"/>
              </w:rPr>
              <w:t>, naturalmente respeitando todo o ritual de transparência e discussão pública que o assunto exige.</w:t>
            </w:r>
          </w:p>
        </w:tc>
        <w:tc>
          <w:tcPr>
            <w:tcW w:w="0" w:type="auto"/>
            <w:gridSpan w:val="2"/>
            <w:vMerge/>
            <w:tcBorders>
              <w:top w:val="nil"/>
              <w:left w:val="single" w:sz="3" w:space="0" w:color="000000"/>
              <w:bottom w:val="nil"/>
              <w:right w:val="nil"/>
            </w:tcBorders>
          </w:tcPr>
          <w:p w14:paraId="0CBCEE3B" w14:textId="77777777" w:rsidR="00541219" w:rsidRDefault="00541219">
            <w:pPr>
              <w:spacing w:after="160"/>
              <w:ind w:left="0" w:firstLine="0"/>
            </w:pPr>
          </w:p>
        </w:tc>
      </w:tr>
      <w:tr w:rsidR="00541219" w14:paraId="7E61EED2"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35224E82" w14:textId="77777777" w:rsidR="00541219" w:rsidRDefault="00000000">
            <w:pPr>
              <w:spacing w:after="0"/>
              <w:ind w:left="0" w:firstLine="0"/>
            </w:pPr>
            <w:r>
              <w:rPr>
                <w:sz w:val="8"/>
              </w:rPr>
              <w:t>40. No tocante ao mercado de referência, a redação também busca ampliar seu conceito, permitindo que outras grandezas sejam utilizadas como variável de faturamento, em linha com as discussões de modernização tarifária.</w:t>
            </w:r>
          </w:p>
        </w:tc>
        <w:tc>
          <w:tcPr>
            <w:tcW w:w="0" w:type="auto"/>
            <w:gridSpan w:val="2"/>
            <w:vMerge/>
            <w:tcBorders>
              <w:top w:val="nil"/>
              <w:left w:val="single" w:sz="3" w:space="0" w:color="000000"/>
              <w:bottom w:val="nil"/>
              <w:right w:val="nil"/>
            </w:tcBorders>
          </w:tcPr>
          <w:p w14:paraId="002AA0A8" w14:textId="77777777" w:rsidR="00541219" w:rsidRDefault="00541219">
            <w:pPr>
              <w:spacing w:after="160"/>
              <w:ind w:left="0" w:firstLine="0"/>
            </w:pPr>
          </w:p>
        </w:tc>
      </w:tr>
      <w:tr w:rsidR="00541219" w14:paraId="5970C574" w14:textId="77777777">
        <w:trPr>
          <w:trHeight w:val="328"/>
        </w:trPr>
        <w:tc>
          <w:tcPr>
            <w:tcW w:w="5344" w:type="dxa"/>
            <w:tcBorders>
              <w:top w:val="single" w:sz="3" w:space="0" w:color="000000"/>
              <w:left w:val="single" w:sz="3" w:space="0" w:color="000000"/>
              <w:bottom w:val="double" w:sz="3" w:space="0" w:color="000000"/>
              <w:right w:val="single" w:sz="3" w:space="0" w:color="000000"/>
            </w:tcBorders>
          </w:tcPr>
          <w:p w14:paraId="0E13EB6D" w14:textId="77777777" w:rsidR="00541219" w:rsidRDefault="00000000">
            <w:pPr>
              <w:spacing w:after="0"/>
              <w:ind w:left="0" w:firstLine="0"/>
            </w:pPr>
            <w:r>
              <w:rPr>
                <w:sz w:val="8"/>
              </w:rPr>
              <w:t>41. Em relação aos itens de Parcela B, custos operacionais e de capital, apesar de os contratos assinados pós Lei no 12.783/2013 não explicitarem a possibilidade de uma análise de eficiência conjunta em âmbito de regulação, a sua inclusão nos contratos a serem renovados indica a intenção de se implementar tal sinal regulatório na definição dos custos eficientes da prestação do serviço.</w:t>
            </w:r>
          </w:p>
        </w:tc>
        <w:tc>
          <w:tcPr>
            <w:tcW w:w="0" w:type="auto"/>
            <w:gridSpan w:val="2"/>
            <w:vMerge/>
            <w:tcBorders>
              <w:top w:val="nil"/>
              <w:left w:val="single" w:sz="3" w:space="0" w:color="000000"/>
              <w:bottom w:val="single" w:sz="3" w:space="0" w:color="000000"/>
              <w:right w:val="nil"/>
            </w:tcBorders>
          </w:tcPr>
          <w:p w14:paraId="2D3B5D23" w14:textId="77777777" w:rsidR="00541219" w:rsidRDefault="00541219">
            <w:pPr>
              <w:spacing w:after="160"/>
              <w:ind w:left="0" w:firstLine="0"/>
            </w:pPr>
          </w:p>
        </w:tc>
      </w:tr>
      <w:tr w:rsidR="00541219" w14:paraId="5F3BEB6C" w14:textId="77777777">
        <w:trPr>
          <w:trHeight w:val="611"/>
        </w:trPr>
        <w:tc>
          <w:tcPr>
            <w:tcW w:w="5344" w:type="dxa"/>
            <w:tcBorders>
              <w:top w:val="double" w:sz="3" w:space="0" w:color="000000"/>
              <w:left w:val="single" w:sz="3" w:space="0" w:color="000000"/>
              <w:bottom w:val="single" w:sz="3" w:space="0" w:color="000000"/>
              <w:right w:val="single" w:sz="3" w:space="0" w:color="000000"/>
            </w:tcBorders>
          </w:tcPr>
          <w:p w14:paraId="5653E6C1" w14:textId="77777777" w:rsidR="00541219" w:rsidRDefault="00000000">
            <w:pPr>
              <w:spacing w:after="0"/>
              <w:ind w:left="0" w:firstLine="0"/>
            </w:pPr>
            <w:r>
              <w:rPr>
                <w:sz w:val="8"/>
              </w:rPr>
              <w:t>III.1.2.2 – Reconhecimento de custos de capital e de operação entre revisões tarifárias/investimento prudente</w:t>
            </w:r>
          </w:p>
          <w:p w14:paraId="6BC85E5D" w14:textId="77777777" w:rsidR="00541219" w:rsidRDefault="00000000">
            <w:pPr>
              <w:spacing w:after="0"/>
              <w:ind w:left="0" w:right="10" w:firstLine="0"/>
            </w:pPr>
            <w:r>
              <w:rPr>
                <w:sz w:val="8"/>
              </w:rPr>
              <w:t xml:space="preserve">42. A teoria do serviço pelo preço é baseada no estabelecimento de tarifa </w:t>
            </w:r>
            <w:proofErr w:type="spellStart"/>
            <w:r>
              <w:rPr>
                <w:sz w:val="8"/>
              </w:rPr>
              <w:t>ex-ante</w:t>
            </w:r>
            <w:proofErr w:type="spellEnd"/>
            <w:r>
              <w:rPr>
                <w:sz w:val="8"/>
              </w:rPr>
              <w:t xml:space="preserve"> com mecanismo de ajuste por fatores exógenos. Os fatores exógenos são o índice de inflação e possibilidade de utilização de fator X, para compartilhamento de ganhos de produtividade com os consumidores. Podem ser previstas revisões tarifárias periódicas. Portanto, com o estabelecimento de um preço máximo válido dali em diante, a concessionária tem incentivo a reduzir seus custos para se apropriar dos ganhos. É um modelo que também traz estabilidade de preços, justamente por fixar o preço máximo por um determinado período (no caso de haver revisões periódicas). Esse modelo é utilizado atualmente para as concessões de distribuição em virtude do comando da Lei 8.987/95.</w:t>
            </w:r>
          </w:p>
        </w:tc>
        <w:tc>
          <w:tcPr>
            <w:tcW w:w="1229" w:type="dxa"/>
            <w:tcBorders>
              <w:top w:val="single" w:sz="3" w:space="0" w:color="000000"/>
              <w:left w:val="single" w:sz="3" w:space="0" w:color="000000"/>
              <w:bottom w:val="single" w:sz="3" w:space="0" w:color="000000"/>
              <w:right w:val="single" w:sz="3" w:space="0" w:color="000000"/>
            </w:tcBorders>
            <w:vAlign w:val="center"/>
          </w:tcPr>
          <w:p w14:paraId="00D91757"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vAlign w:val="center"/>
          </w:tcPr>
          <w:p w14:paraId="23611A55" w14:textId="77777777" w:rsidR="00541219" w:rsidRDefault="00000000">
            <w:pPr>
              <w:spacing w:after="0"/>
              <w:ind w:left="5" w:firstLine="0"/>
            </w:pPr>
            <w:r>
              <w:t>Ganhos de produtividade com os consumidores deve ser mantido. Alterações deste conceito devem ser discutidas amplamente antes de sua implementação.</w:t>
            </w:r>
          </w:p>
        </w:tc>
      </w:tr>
      <w:tr w:rsidR="00541219" w14:paraId="7E7C9610" w14:textId="77777777">
        <w:trPr>
          <w:trHeight w:val="470"/>
        </w:trPr>
        <w:tc>
          <w:tcPr>
            <w:tcW w:w="5344" w:type="dxa"/>
            <w:tcBorders>
              <w:top w:val="single" w:sz="3" w:space="0" w:color="000000"/>
              <w:left w:val="single" w:sz="3" w:space="0" w:color="000000"/>
              <w:bottom w:val="single" w:sz="3" w:space="0" w:color="000000"/>
              <w:right w:val="single" w:sz="3" w:space="0" w:color="000000"/>
            </w:tcBorders>
          </w:tcPr>
          <w:p w14:paraId="18C36A96" w14:textId="77777777" w:rsidR="00541219" w:rsidRDefault="00000000">
            <w:pPr>
              <w:spacing w:after="0"/>
              <w:ind w:left="0" w:firstLine="0"/>
            </w:pPr>
            <w:r>
              <w:rPr>
                <w:sz w:val="8"/>
              </w:rPr>
              <w:t>43. Na prática, o reconhecimento de custos de capital, de operação e de depreciação atualmente é reavaliado quando das revisões tarifárias. Toda a base de ativos é avaliada, retira-se o que foi amortizado nesse período, gerando a cota de reintegração; e, sobre a nova base líquida, aplica-se o custo de capital apropriado para a remuneração dos investimentos. Do mesmo modo, utilizam-se ferramentas de benchmark para estabelecimento dos níveis eficientes de custos operacionais. Esses novos custos de distribuição serão válidos por todo o próximo ciclo tarifário. Nesse período, portanto, com as tarifas estabelecidas e fixadas, é que há margem para ganhos de eficiência pela concessionária.</w:t>
            </w:r>
          </w:p>
        </w:tc>
        <w:tc>
          <w:tcPr>
            <w:tcW w:w="4920" w:type="dxa"/>
            <w:gridSpan w:val="2"/>
            <w:vMerge w:val="restart"/>
            <w:tcBorders>
              <w:top w:val="single" w:sz="3" w:space="0" w:color="000000"/>
              <w:left w:val="single" w:sz="3" w:space="0" w:color="000000"/>
              <w:bottom w:val="single" w:sz="3" w:space="0" w:color="000000"/>
              <w:right w:val="nil"/>
            </w:tcBorders>
          </w:tcPr>
          <w:p w14:paraId="1BDCBE48" w14:textId="77777777" w:rsidR="00541219" w:rsidRDefault="00541219">
            <w:pPr>
              <w:spacing w:after="160"/>
              <w:ind w:left="0" w:firstLine="0"/>
            </w:pPr>
          </w:p>
        </w:tc>
      </w:tr>
      <w:tr w:rsidR="00541219" w14:paraId="574D6FA5"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0C95CFB6" w14:textId="77777777" w:rsidR="00541219" w:rsidRDefault="00000000">
            <w:pPr>
              <w:spacing w:after="0"/>
              <w:ind w:left="0" w:firstLine="0"/>
            </w:pPr>
            <w:r>
              <w:rPr>
                <w:sz w:val="8"/>
              </w:rPr>
              <w:t>44. O Decreto 12.068/24 trouxe que:</w:t>
            </w:r>
          </w:p>
        </w:tc>
        <w:tc>
          <w:tcPr>
            <w:tcW w:w="0" w:type="auto"/>
            <w:gridSpan w:val="2"/>
            <w:vMerge/>
            <w:tcBorders>
              <w:top w:val="nil"/>
              <w:left w:val="single" w:sz="3" w:space="0" w:color="000000"/>
              <w:bottom w:val="single" w:sz="3" w:space="0" w:color="000000"/>
              <w:right w:val="nil"/>
            </w:tcBorders>
          </w:tcPr>
          <w:p w14:paraId="6A4E422C" w14:textId="77777777" w:rsidR="00541219" w:rsidRDefault="00541219">
            <w:pPr>
              <w:spacing w:after="160"/>
              <w:ind w:left="0" w:firstLine="0"/>
            </w:pPr>
          </w:p>
        </w:tc>
      </w:tr>
      <w:tr w:rsidR="00541219" w14:paraId="54010FB9" w14:textId="77777777">
        <w:trPr>
          <w:trHeight w:val="883"/>
        </w:trPr>
        <w:tc>
          <w:tcPr>
            <w:tcW w:w="5344" w:type="dxa"/>
            <w:tcBorders>
              <w:top w:val="single" w:sz="3" w:space="0" w:color="000000"/>
              <w:left w:val="single" w:sz="3" w:space="0" w:color="000000"/>
              <w:bottom w:val="single" w:sz="3" w:space="0" w:color="000000"/>
              <w:right w:val="single" w:sz="3" w:space="0" w:color="000000"/>
            </w:tcBorders>
            <w:vAlign w:val="center"/>
          </w:tcPr>
          <w:p w14:paraId="50C0E8BA" w14:textId="77777777" w:rsidR="00541219" w:rsidRDefault="00000000">
            <w:pPr>
              <w:spacing w:after="0"/>
              <w:ind w:left="497" w:firstLine="0"/>
            </w:pPr>
            <w:r>
              <w:rPr>
                <w:sz w:val="8"/>
              </w:rPr>
              <w:t xml:space="preserve">     a) se admita flexibilidade normativa para a definição do regime de regulação econômica que melhor se adapte à evolução do segmento de distribuição, facultado à Aneel promover o reconhecimento de custos de capital e de operação entre revisões tarifárias, de modo a favorecer a modernização dos serviços compatível com a prestação do serviço adequado de distribuição, preservado o princípio do equilíbrio econômico-financeiro da concessão; (grifos nossos)</w:t>
            </w:r>
          </w:p>
        </w:tc>
        <w:tc>
          <w:tcPr>
            <w:tcW w:w="1229" w:type="dxa"/>
            <w:tcBorders>
              <w:top w:val="single" w:sz="3" w:space="0" w:color="000000"/>
              <w:left w:val="single" w:sz="3" w:space="0" w:color="000000"/>
              <w:bottom w:val="single" w:sz="3" w:space="0" w:color="000000"/>
              <w:right w:val="single" w:sz="3" w:space="0" w:color="000000"/>
            </w:tcBorders>
            <w:vAlign w:val="center"/>
          </w:tcPr>
          <w:p w14:paraId="13AD14F8"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720A290F" w14:textId="77777777" w:rsidR="00541219" w:rsidRDefault="00000000" w:rsidP="00733A86">
            <w:pPr>
              <w:spacing w:after="0" w:line="256" w:lineRule="auto"/>
              <w:ind w:left="5" w:firstLine="0"/>
              <w:jc w:val="both"/>
            </w:pPr>
            <w:r>
              <w:t xml:space="preserve">O reconhecimento de Custos de Capital e Operacionais entre revisões deve sempre privilegiar a modicidade tarifária e a eficiência das atividades regulatórias. </w:t>
            </w:r>
          </w:p>
          <w:p w14:paraId="0AD622C8" w14:textId="244E964F" w:rsidR="00541219" w:rsidRDefault="00000000" w:rsidP="00733A86">
            <w:pPr>
              <w:spacing w:after="0"/>
              <w:ind w:left="5" w:firstLine="0"/>
              <w:jc w:val="both"/>
            </w:pPr>
            <w:r>
              <w:t>Historicamente, a primeira distribuidora privatizada objeto do contrato 01/1995 (Atual E</w:t>
            </w:r>
            <w:r w:rsidR="00733A86">
              <w:t>D</w:t>
            </w:r>
            <w:r>
              <w:t>P-ES), tem revisões mais curtas de 3 em 3 anos, e a segunda distribuidora privatizada a Light (Contrato 01/1996) em seu contrato inicial as revisões foram estendidas para 7 em 7 anos, as seguintes têm revisões variando entre 4 e 5 anos, portanto o tema deve ser claramente justificado e aplicado em benefício do menor custo para a sociedade.</w:t>
            </w:r>
          </w:p>
        </w:tc>
      </w:tr>
      <w:tr w:rsidR="00541219" w14:paraId="744DADAF"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47C50778" w14:textId="77777777" w:rsidR="00541219" w:rsidRDefault="00000000">
            <w:pPr>
              <w:spacing w:after="0"/>
              <w:ind w:left="0" w:firstLine="0"/>
            </w:pPr>
            <w:r>
              <w:rPr>
                <w:sz w:val="8"/>
              </w:rPr>
              <w:t>45. O reconhecimento de custos de capital e de operação entre revisões altera essa lógica.</w:t>
            </w:r>
          </w:p>
          <w:p w14:paraId="6CBC6992" w14:textId="77777777" w:rsidR="00541219" w:rsidRDefault="00000000">
            <w:pPr>
              <w:spacing w:after="0"/>
              <w:ind w:left="0" w:firstLine="0"/>
            </w:pPr>
            <w:r>
              <w:rPr>
                <w:sz w:val="8"/>
              </w:rPr>
              <w:t>Destacam-se os principais itens que são afetados: nível de investimento, risco e custo regulatório, que serão analisados a seguir.</w:t>
            </w:r>
          </w:p>
        </w:tc>
        <w:tc>
          <w:tcPr>
            <w:tcW w:w="4920" w:type="dxa"/>
            <w:gridSpan w:val="2"/>
            <w:vMerge w:val="restart"/>
            <w:tcBorders>
              <w:top w:val="single" w:sz="3" w:space="0" w:color="000000"/>
              <w:left w:val="single" w:sz="3" w:space="0" w:color="000000"/>
              <w:bottom w:val="single" w:sz="3" w:space="0" w:color="000000"/>
              <w:right w:val="nil"/>
            </w:tcBorders>
          </w:tcPr>
          <w:p w14:paraId="132B0439" w14:textId="77777777" w:rsidR="00541219" w:rsidRDefault="00541219">
            <w:pPr>
              <w:spacing w:after="160"/>
              <w:ind w:left="0" w:firstLine="0"/>
            </w:pPr>
          </w:p>
        </w:tc>
      </w:tr>
      <w:tr w:rsidR="00541219" w14:paraId="19C66219"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630D0E81" w14:textId="77777777" w:rsidR="00541219" w:rsidRDefault="00000000">
            <w:pPr>
              <w:spacing w:after="0"/>
              <w:ind w:left="0" w:right="120" w:firstLine="0"/>
              <w:jc w:val="both"/>
            </w:pPr>
            <w:r>
              <w:rPr>
                <w:sz w:val="8"/>
              </w:rPr>
              <w:t>46. O reconhecimento de custos entre revisões tarifárias pode ser um modelo que diminui a exposição ao risco financeiro da concessionária em virtude de investimentos em ativos de grande monta. Seguem-se exemplos de casos diferentes onde a antecipação de reconhecimento tarifário de investimentos poderia ser alegada.</w:t>
            </w:r>
          </w:p>
        </w:tc>
        <w:tc>
          <w:tcPr>
            <w:tcW w:w="0" w:type="auto"/>
            <w:gridSpan w:val="2"/>
            <w:vMerge/>
            <w:tcBorders>
              <w:top w:val="nil"/>
              <w:left w:val="single" w:sz="3" w:space="0" w:color="000000"/>
              <w:bottom w:val="nil"/>
              <w:right w:val="nil"/>
            </w:tcBorders>
          </w:tcPr>
          <w:p w14:paraId="06F2557D" w14:textId="77777777" w:rsidR="00541219" w:rsidRDefault="00541219">
            <w:pPr>
              <w:spacing w:after="160"/>
              <w:ind w:left="0" w:firstLine="0"/>
            </w:pPr>
          </w:p>
        </w:tc>
      </w:tr>
      <w:tr w:rsidR="00541219" w14:paraId="62FF444E" w14:textId="77777777">
        <w:trPr>
          <w:trHeight w:val="470"/>
        </w:trPr>
        <w:tc>
          <w:tcPr>
            <w:tcW w:w="5344" w:type="dxa"/>
            <w:tcBorders>
              <w:top w:val="single" w:sz="3" w:space="0" w:color="000000"/>
              <w:left w:val="single" w:sz="3" w:space="0" w:color="000000"/>
              <w:bottom w:val="single" w:sz="3" w:space="0" w:color="000000"/>
              <w:right w:val="single" w:sz="3" w:space="0" w:color="000000"/>
            </w:tcBorders>
          </w:tcPr>
          <w:p w14:paraId="6AAE09B5" w14:textId="77777777" w:rsidR="00541219" w:rsidRDefault="00000000">
            <w:pPr>
              <w:spacing w:after="0"/>
              <w:ind w:left="0" w:firstLine="0"/>
            </w:pPr>
            <w:r>
              <w:rPr>
                <w:sz w:val="8"/>
              </w:rPr>
              <w:t>47. A necessidade de investimentos em novas subestações, linhas de transmissão, ou outros ativos de subtransmissão pode causar grande impacto financeiro à concessionária. Há casos de empresas pequenas que não possuíam ativos de alta tensão, mas que quando tiveram que investir, alegaram desequilíbrio tarifário, pois é possível que o volume de novos investimentos seja de mesma monta dos ativos existentes. Como também, casos em que a distribuidora deve investir em ativos que fazem parte do planejamento centralizado, concorrendo então com investimentos prévios definidos pela própria concessionária de distribuição.</w:t>
            </w:r>
          </w:p>
        </w:tc>
        <w:tc>
          <w:tcPr>
            <w:tcW w:w="0" w:type="auto"/>
            <w:gridSpan w:val="2"/>
            <w:vMerge/>
            <w:tcBorders>
              <w:top w:val="nil"/>
              <w:left w:val="single" w:sz="3" w:space="0" w:color="000000"/>
              <w:bottom w:val="nil"/>
              <w:right w:val="nil"/>
            </w:tcBorders>
          </w:tcPr>
          <w:p w14:paraId="31B76089" w14:textId="77777777" w:rsidR="00541219" w:rsidRDefault="00541219">
            <w:pPr>
              <w:spacing w:after="160"/>
              <w:ind w:left="0" w:firstLine="0"/>
            </w:pPr>
          </w:p>
        </w:tc>
      </w:tr>
      <w:tr w:rsidR="00541219" w14:paraId="0ABAAB06" w14:textId="77777777">
        <w:trPr>
          <w:trHeight w:val="470"/>
        </w:trPr>
        <w:tc>
          <w:tcPr>
            <w:tcW w:w="5344" w:type="dxa"/>
            <w:tcBorders>
              <w:top w:val="single" w:sz="3" w:space="0" w:color="000000"/>
              <w:left w:val="single" w:sz="3" w:space="0" w:color="000000"/>
              <w:bottom w:val="single" w:sz="3" w:space="0" w:color="000000"/>
              <w:right w:val="single" w:sz="3" w:space="0" w:color="000000"/>
            </w:tcBorders>
          </w:tcPr>
          <w:p w14:paraId="75EC4AAF" w14:textId="77777777" w:rsidR="00541219" w:rsidRDefault="00000000">
            <w:pPr>
              <w:spacing w:after="0"/>
              <w:ind w:left="0" w:firstLine="0"/>
            </w:pPr>
            <w:r>
              <w:rPr>
                <w:sz w:val="8"/>
              </w:rPr>
              <w:t xml:space="preserve">48. Outro exemplo ocorre quando a concessão incorre em elevado nível de investimentos para recuperar uma rede obsoleta e de baixa qualidade decorrente da má gestão dos ativos por parte do antigo operador. Nos processos de licitação ou troca de controle ocorridos após 2018, foi comum a adoção ou a proposição de medidas para antecipar o reconhecimento dos investimentos, como igualar à zero o componente </w:t>
            </w:r>
            <w:proofErr w:type="spellStart"/>
            <w:r>
              <w:rPr>
                <w:sz w:val="8"/>
              </w:rPr>
              <w:t>Pd</w:t>
            </w:r>
            <w:proofErr w:type="spellEnd"/>
            <w:r>
              <w:rPr>
                <w:sz w:val="8"/>
              </w:rPr>
              <w:t xml:space="preserve"> do Fator X ou permitir uma revisão tarifária adicional dentro do intervalo de 5 anos. A antecipação de investimentos nos reajustes tarifários seria uma alternativa à tais mecanismos.</w:t>
            </w:r>
          </w:p>
        </w:tc>
        <w:tc>
          <w:tcPr>
            <w:tcW w:w="0" w:type="auto"/>
            <w:gridSpan w:val="2"/>
            <w:vMerge/>
            <w:tcBorders>
              <w:top w:val="nil"/>
              <w:left w:val="single" w:sz="3" w:space="0" w:color="000000"/>
              <w:bottom w:val="single" w:sz="3" w:space="0" w:color="000000"/>
              <w:right w:val="nil"/>
            </w:tcBorders>
          </w:tcPr>
          <w:p w14:paraId="04FA206D" w14:textId="77777777" w:rsidR="00541219" w:rsidRDefault="00541219">
            <w:pPr>
              <w:spacing w:after="160"/>
              <w:ind w:left="0" w:firstLine="0"/>
            </w:pPr>
          </w:p>
        </w:tc>
      </w:tr>
      <w:tr w:rsidR="00541219" w14:paraId="1CF4DBCE" w14:textId="77777777">
        <w:trPr>
          <w:trHeight w:val="1104"/>
        </w:trPr>
        <w:tc>
          <w:tcPr>
            <w:tcW w:w="5344" w:type="dxa"/>
            <w:tcBorders>
              <w:top w:val="single" w:sz="3" w:space="0" w:color="000000"/>
              <w:left w:val="single" w:sz="3" w:space="0" w:color="000000"/>
              <w:bottom w:val="single" w:sz="3" w:space="0" w:color="000000"/>
              <w:right w:val="single" w:sz="3" w:space="0" w:color="000000"/>
            </w:tcBorders>
            <w:vAlign w:val="center"/>
          </w:tcPr>
          <w:p w14:paraId="363FCC36" w14:textId="77777777" w:rsidR="00541219" w:rsidRDefault="00000000">
            <w:pPr>
              <w:spacing w:after="0"/>
              <w:ind w:left="0" w:firstLine="0"/>
            </w:pPr>
            <w:r>
              <w:rPr>
                <w:sz w:val="8"/>
              </w:rPr>
              <w:t xml:space="preserve">49. Outra possiblidade de antecipação dos efeitos dos investimentos seria a necessidade de uma ampla substituição dos medidores convencionais por medidores inteligentes. Este investimento compete com outros e, por terem esses medidores menor vida útil, podem perder atratividade frente outros investimentos. Atualmente, as concessões que estão em processo de substituição dos medidores o fazem por conta e risco e não há adiantamento tarifário ou outro mecanismo regulatório, como recálculo do componente </w:t>
            </w:r>
            <w:proofErr w:type="spellStart"/>
            <w:r>
              <w:rPr>
                <w:sz w:val="8"/>
              </w:rPr>
              <w:t>Pd</w:t>
            </w:r>
            <w:proofErr w:type="spellEnd"/>
            <w:r>
              <w:rPr>
                <w:sz w:val="8"/>
              </w:rPr>
              <w:t xml:space="preserve"> do Fator X3, que permita antecipar os recursos. Ressalta-se que é possível o adiantamento, se necessário e desejável, ser realizado por meio da própria tarifa ou da fatura do consumidor que tem o medidor substituído, ao invés de antecipar o nível da receita de Parcela B, que pode provocar ineficiências alocativas entre os consumidores que não têm e que têm a substituição do equipamento.</w:t>
            </w:r>
          </w:p>
        </w:tc>
        <w:tc>
          <w:tcPr>
            <w:tcW w:w="1229" w:type="dxa"/>
            <w:tcBorders>
              <w:top w:val="single" w:sz="3" w:space="0" w:color="000000"/>
              <w:left w:val="single" w:sz="3" w:space="0" w:color="000000"/>
              <w:bottom w:val="single" w:sz="3" w:space="0" w:color="000000"/>
              <w:right w:val="single" w:sz="3" w:space="0" w:color="000000"/>
            </w:tcBorders>
            <w:vAlign w:val="center"/>
          </w:tcPr>
          <w:p w14:paraId="488A14F3"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7452863E" w14:textId="0C69444B" w:rsidR="00541219" w:rsidRDefault="00000000" w:rsidP="00733A86">
            <w:pPr>
              <w:spacing w:after="0"/>
              <w:ind w:left="5" w:firstLine="0"/>
              <w:jc w:val="both"/>
            </w:pPr>
            <w:r>
              <w:t xml:space="preserve">Troca de medidores implica em investimentos que serão remunerados pela tarifa, assim sendo, devem também ser compensados com a redução dos custos operacionais. Não deve existir investimento sem a adequada análise de custo-benefício a ser revertida em efetiva modicidade tarifária. Assim sendo, não pode ocorrer o descasamento de reconhecimento de investimentos entre revisões e o reconhecimento de menores custos operacionais entre revisões. Concordamos com a Aneel de que deve sempre ser discutida a consulta aos consumidores através de seus </w:t>
            </w:r>
            <w:r w:rsidR="00733A86">
              <w:t>respectivos Conselhos</w:t>
            </w:r>
            <w:r>
              <w:t xml:space="preserve"> de Consumidores de Energia Elétrica instituídos pela Lei nº 8.631/1993 e regulados pela REN nº 963/2021.</w:t>
            </w:r>
          </w:p>
        </w:tc>
      </w:tr>
      <w:tr w:rsidR="00541219" w14:paraId="3D6DC852" w14:textId="77777777">
        <w:trPr>
          <w:trHeight w:val="938"/>
        </w:trPr>
        <w:tc>
          <w:tcPr>
            <w:tcW w:w="5344" w:type="dxa"/>
            <w:tcBorders>
              <w:top w:val="single" w:sz="3" w:space="0" w:color="000000"/>
              <w:left w:val="single" w:sz="3" w:space="0" w:color="000000"/>
              <w:bottom w:val="single" w:sz="3" w:space="0" w:color="000000"/>
              <w:right w:val="single" w:sz="3" w:space="0" w:color="000000"/>
            </w:tcBorders>
          </w:tcPr>
          <w:p w14:paraId="78A13B3C" w14:textId="77777777" w:rsidR="00541219" w:rsidRDefault="00000000">
            <w:pPr>
              <w:spacing w:after="0"/>
              <w:ind w:left="0" w:firstLine="0"/>
            </w:pPr>
            <w:r>
              <w:rPr>
                <w:sz w:val="8"/>
              </w:rPr>
              <w:lastRenderedPageBreak/>
              <w:t xml:space="preserve">50. Outro caminho seria tratar os investimentos em subestação e linhas de subtransmissão de modo semelhante aos ativos de transmissão, </w:t>
            </w:r>
          </w:p>
          <w:p w14:paraId="5C6A5EFC" w14:textId="77777777" w:rsidR="00541219" w:rsidRDefault="00000000">
            <w:pPr>
              <w:spacing w:after="0"/>
              <w:ind w:left="0" w:firstLine="0"/>
            </w:pPr>
            <w:r>
              <w:rPr>
                <w:sz w:val="8"/>
              </w:rPr>
              <w:t>preferencialmente se houver determinação por parte do Planejamento, mantendo os bens de massa no modelo atual. Porém, há de se esclarecer a diferença da necessidade de investimentos entre os setores de transmissão e distribuição. No setor de transmissão, os investimentos em reforços de grande porte são esparsos e passam por processo de planejamento por parte da Empresa de Pesquisa Energética – EPE e do ONS. Assim, o que for apontado como necessidade de investimento por essas instituições, portanto, investimento prudente, está fora do que a concessionária planejou quando do leilão. E isso, por si só, já é uma grande diferença entre os dois setores de transporte de energia: a transmissora tem como objeto do contrato de concessão a construção, operação e manutenção de ativos dos transmissão descritos e elencados no contrato. Já a distribuidora tem como objeto o atendimento ao mercado na sua área de concessão. Nesse sentido, a distribuidora tem, regra geral, gestão sobre a necessidade e sobre quando realizar os investimentos, cabendo ajustar seu perfil da melhor maneira possível e considerando a proximidade da revisão tarifária.</w:t>
            </w:r>
          </w:p>
        </w:tc>
        <w:tc>
          <w:tcPr>
            <w:tcW w:w="4920" w:type="dxa"/>
            <w:gridSpan w:val="2"/>
            <w:vMerge w:val="restart"/>
            <w:tcBorders>
              <w:top w:val="single" w:sz="3" w:space="0" w:color="000000"/>
              <w:left w:val="single" w:sz="3" w:space="0" w:color="000000"/>
              <w:bottom w:val="single" w:sz="3" w:space="0" w:color="000000"/>
              <w:right w:val="nil"/>
            </w:tcBorders>
          </w:tcPr>
          <w:p w14:paraId="77CAE2DA" w14:textId="77777777" w:rsidR="00541219" w:rsidRDefault="00541219">
            <w:pPr>
              <w:spacing w:after="160"/>
              <w:ind w:left="0" w:firstLine="0"/>
            </w:pPr>
          </w:p>
        </w:tc>
      </w:tr>
      <w:tr w:rsidR="00541219" w14:paraId="23C8D249" w14:textId="77777777">
        <w:trPr>
          <w:trHeight w:val="751"/>
        </w:trPr>
        <w:tc>
          <w:tcPr>
            <w:tcW w:w="5344" w:type="dxa"/>
            <w:tcBorders>
              <w:top w:val="single" w:sz="3" w:space="0" w:color="000000"/>
              <w:left w:val="single" w:sz="3" w:space="0" w:color="000000"/>
              <w:bottom w:val="single" w:sz="3" w:space="0" w:color="000000"/>
              <w:right w:val="single" w:sz="3" w:space="0" w:color="000000"/>
            </w:tcBorders>
          </w:tcPr>
          <w:p w14:paraId="37AAC6D5" w14:textId="77777777" w:rsidR="00541219" w:rsidRDefault="00000000">
            <w:pPr>
              <w:spacing w:after="0"/>
              <w:ind w:left="0" w:firstLine="0"/>
            </w:pPr>
            <w:r>
              <w:rPr>
                <w:sz w:val="8"/>
              </w:rPr>
              <w:t xml:space="preserve">51. Pelos exemplos mencionados, entende-se que a alternativa de reconhecimento de custos de ativos entre revisões se propõe à diminuição do risco financeiro de investimento da concessionária. No entanto, sabe-se que quando aplicada sem mecanismos compensatórios, isso é acompanhando de um aumento de risco de </w:t>
            </w:r>
            <w:proofErr w:type="spellStart"/>
            <w:r>
              <w:rPr>
                <w:sz w:val="8"/>
              </w:rPr>
              <w:t>sobreinvestimento</w:t>
            </w:r>
            <w:proofErr w:type="spellEnd"/>
            <w:r>
              <w:rPr>
                <w:sz w:val="8"/>
              </w:rPr>
              <w:t xml:space="preserve"> suportado pelo consumidor. Essa alternativa pode reduzir o incentivo ao investimento prudente em capital, à medida que viabiliza investimentos em que não há ganhos perceptíveis no curto prazo, tendo como único benefício ao consumidor a diluição do reconhecimento ao longo do ciclo, amenizando um impacto tarifário concentrado quando da revisão, mas ao mesmo tempo aumentando a volatilidade tarifária </w:t>
            </w:r>
            <w:proofErr w:type="spellStart"/>
            <w:r>
              <w:rPr>
                <w:sz w:val="8"/>
              </w:rPr>
              <w:t>intraciclo</w:t>
            </w:r>
            <w:proofErr w:type="spellEnd"/>
            <w:r>
              <w:rPr>
                <w:sz w:val="8"/>
              </w:rPr>
              <w:t xml:space="preserve">. Por retirar o </w:t>
            </w:r>
            <w:proofErr w:type="spellStart"/>
            <w:r>
              <w:rPr>
                <w:sz w:val="8"/>
              </w:rPr>
              <w:t>lag</w:t>
            </w:r>
            <w:proofErr w:type="spellEnd"/>
            <w:r>
              <w:rPr>
                <w:sz w:val="8"/>
              </w:rPr>
              <w:t xml:space="preserve"> temporal entre as revisões tarifárias, que seria onde a concessionária buscaria a redução de custos, percebe-se então como essa alternativa pode levar ao reconhecimento de investimentos não prudentes. Isso também se aplica ao reconhecimento dos custos operacionais.</w:t>
            </w:r>
          </w:p>
        </w:tc>
        <w:tc>
          <w:tcPr>
            <w:tcW w:w="0" w:type="auto"/>
            <w:gridSpan w:val="2"/>
            <w:vMerge/>
            <w:tcBorders>
              <w:top w:val="nil"/>
              <w:left w:val="single" w:sz="3" w:space="0" w:color="000000"/>
              <w:bottom w:val="nil"/>
              <w:right w:val="nil"/>
            </w:tcBorders>
          </w:tcPr>
          <w:p w14:paraId="2D9AB970" w14:textId="77777777" w:rsidR="00541219" w:rsidRDefault="00541219">
            <w:pPr>
              <w:spacing w:after="160"/>
              <w:ind w:left="0" w:firstLine="0"/>
            </w:pPr>
          </w:p>
        </w:tc>
      </w:tr>
      <w:tr w:rsidR="00541219" w14:paraId="02E1FB0C" w14:textId="77777777">
        <w:trPr>
          <w:trHeight w:val="470"/>
        </w:trPr>
        <w:tc>
          <w:tcPr>
            <w:tcW w:w="5344" w:type="dxa"/>
            <w:tcBorders>
              <w:top w:val="single" w:sz="3" w:space="0" w:color="000000"/>
              <w:left w:val="single" w:sz="3" w:space="0" w:color="000000"/>
              <w:bottom w:val="single" w:sz="3" w:space="0" w:color="000000"/>
              <w:right w:val="single" w:sz="3" w:space="0" w:color="000000"/>
            </w:tcBorders>
          </w:tcPr>
          <w:p w14:paraId="6A37F0C4" w14:textId="77777777" w:rsidR="00541219" w:rsidRDefault="00000000">
            <w:pPr>
              <w:spacing w:after="0"/>
              <w:ind w:left="0" w:firstLine="0"/>
            </w:pPr>
            <w:r>
              <w:rPr>
                <w:sz w:val="8"/>
              </w:rPr>
              <w:t xml:space="preserve">52. Portanto, há risco de perda de modicidade tarifária com essa alternativa. Sem contrapartidas em outros elementos de incentivos, isso representa um enfraquecimento da regulação por incentivos e fortalecimento de um modelo mais próximo do custo do serviço. Isto, porque, de fato, o modelo de preço-teto pressupõe a existência de </w:t>
            </w:r>
            <w:proofErr w:type="spellStart"/>
            <w:r>
              <w:rPr>
                <w:sz w:val="8"/>
              </w:rPr>
              <w:t>lag</w:t>
            </w:r>
            <w:proofErr w:type="spellEnd"/>
            <w:r>
              <w:rPr>
                <w:sz w:val="8"/>
              </w:rPr>
              <w:t xml:space="preserve"> temporal (ou mesmo </w:t>
            </w:r>
            <w:proofErr w:type="spellStart"/>
            <w:r>
              <w:rPr>
                <w:sz w:val="8"/>
              </w:rPr>
              <w:t>lag</w:t>
            </w:r>
            <w:proofErr w:type="spellEnd"/>
            <w:r>
              <w:rPr>
                <w:sz w:val="8"/>
              </w:rPr>
              <w:t xml:space="preserve"> coincidente com a duração do contrato, no caso de não haver revisões preestabelecidas). Nesse último ponto é importante relembrar que a Lei 8.987/95 preconiza que o serviço de distribuição seja remunerado pelo preço.</w:t>
            </w:r>
          </w:p>
        </w:tc>
        <w:tc>
          <w:tcPr>
            <w:tcW w:w="0" w:type="auto"/>
            <w:gridSpan w:val="2"/>
            <w:vMerge/>
            <w:tcBorders>
              <w:top w:val="nil"/>
              <w:left w:val="single" w:sz="3" w:space="0" w:color="000000"/>
              <w:bottom w:val="single" w:sz="3" w:space="0" w:color="000000"/>
              <w:right w:val="nil"/>
            </w:tcBorders>
          </w:tcPr>
          <w:p w14:paraId="7F1C7C85" w14:textId="77777777" w:rsidR="00541219" w:rsidRDefault="00541219">
            <w:pPr>
              <w:spacing w:after="160"/>
              <w:ind w:left="0" w:firstLine="0"/>
            </w:pPr>
          </w:p>
        </w:tc>
      </w:tr>
      <w:tr w:rsidR="00541219" w14:paraId="2A2E5491" w14:textId="77777777">
        <w:trPr>
          <w:trHeight w:val="773"/>
        </w:trPr>
        <w:tc>
          <w:tcPr>
            <w:tcW w:w="5344" w:type="dxa"/>
            <w:tcBorders>
              <w:top w:val="single" w:sz="3" w:space="0" w:color="000000"/>
              <w:left w:val="single" w:sz="3" w:space="0" w:color="000000"/>
              <w:bottom w:val="single" w:sz="3" w:space="0" w:color="000000"/>
              <w:right w:val="single" w:sz="3" w:space="0" w:color="000000"/>
            </w:tcBorders>
          </w:tcPr>
          <w:p w14:paraId="3268B13C" w14:textId="77777777" w:rsidR="00541219" w:rsidRDefault="00000000">
            <w:pPr>
              <w:spacing w:after="0"/>
              <w:ind w:left="0" w:right="3" w:firstLine="0"/>
            </w:pPr>
            <w:r>
              <w:rPr>
                <w:sz w:val="8"/>
              </w:rPr>
              <w:t>53. Nessa lógica, não é recomendado que o instituto do reconhecimento dos investimentos entre revisões seja utilizado de forma ampla ou apenas sob a ótica do investimento em si, como ocorre na transmissão, pois intensificaria ainda mais o incentivo existente para adoção do CAPEX em detrimento do OPEX, tornando a prestação do serviço mais cara. Ou seja, poderia ir de encontro aos conceitos de investimento prudente e de modicidade tarifária que o Decreto 12.068/24 expressou como basilares. O viés para o CAPEX é o resultado das diferenças no tratamento regulatório do CAPEX e do OPEX, sendo que neste último utiliza-se metodologia de benchmarking. Isso configura falta de incentivos para que a solução seja a de menor custo global. Para dar tratamento a esse ponto, é necessário que a discussão sobre a regra que reconhece os investimentos anualmente seja feita incluindo a discussão de mecanismos necessários de contrapartidas de incentivos, de modo a promover um equilíbrio entre a necessidade de investimentos em infraestrutura e a proteção dos consumidores.</w:t>
            </w:r>
          </w:p>
        </w:tc>
        <w:tc>
          <w:tcPr>
            <w:tcW w:w="1229" w:type="dxa"/>
            <w:tcBorders>
              <w:top w:val="single" w:sz="3" w:space="0" w:color="000000"/>
              <w:left w:val="single" w:sz="3" w:space="0" w:color="000000"/>
              <w:bottom w:val="single" w:sz="3" w:space="0" w:color="000000"/>
              <w:right w:val="single" w:sz="3" w:space="0" w:color="000000"/>
            </w:tcBorders>
            <w:vAlign w:val="center"/>
          </w:tcPr>
          <w:p w14:paraId="75641546"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1B912467" w14:textId="77777777" w:rsidR="00541219" w:rsidRDefault="00000000" w:rsidP="00733A86">
            <w:pPr>
              <w:spacing w:after="0"/>
              <w:ind w:left="5" w:firstLine="0"/>
              <w:jc w:val="both"/>
            </w:pPr>
            <w:r>
              <w:t>Troca de medidores implica em investimentos que serão remunerados pela tarifa, assim sendo, devem também ser compensados com a redução dos custos operacionais. Não deve existir investimento sem a adequada análise de custo-benefício a ser revertida em efetiva modicidade tarifária. Assim sendo, não pode ocorrer o descasamento de reconhecimento de investimentos entre revisões e o reconhecimento de menores custos operacionais entre revisões.</w:t>
            </w:r>
          </w:p>
        </w:tc>
      </w:tr>
      <w:tr w:rsidR="00541219" w14:paraId="301268C7" w14:textId="77777777">
        <w:trPr>
          <w:trHeight w:val="1104"/>
        </w:trPr>
        <w:tc>
          <w:tcPr>
            <w:tcW w:w="5344" w:type="dxa"/>
            <w:tcBorders>
              <w:top w:val="single" w:sz="3" w:space="0" w:color="000000"/>
              <w:left w:val="single" w:sz="3" w:space="0" w:color="000000"/>
              <w:bottom w:val="single" w:sz="3" w:space="0" w:color="000000"/>
              <w:right w:val="single" w:sz="3" w:space="0" w:color="000000"/>
            </w:tcBorders>
            <w:vAlign w:val="center"/>
          </w:tcPr>
          <w:p w14:paraId="4E6F0DA6" w14:textId="77777777" w:rsidR="00541219" w:rsidRDefault="00000000">
            <w:pPr>
              <w:spacing w:after="0"/>
              <w:ind w:left="0" w:firstLine="0"/>
            </w:pPr>
            <w:r>
              <w:rPr>
                <w:sz w:val="8"/>
              </w:rPr>
              <w:t xml:space="preserve">54. Na literatura e na prática internacional há formas de endereçar o reconhecimento de investimentos de maneira mais rápida, em determinadas situações. Utilizam-se em conjunto formas de manter incentivos às distribuidoras para que invistam somente quando houver necessidade e bom custo-benefício ao consumidor, de forma a diminuir risco de </w:t>
            </w:r>
            <w:proofErr w:type="spellStart"/>
            <w:r>
              <w:rPr>
                <w:sz w:val="8"/>
              </w:rPr>
              <w:t>sobreinvestimento</w:t>
            </w:r>
            <w:proofErr w:type="spellEnd"/>
            <w:r>
              <w:rPr>
                <w:sz w:val="8"/>
              </w:rPr>
              <w:t>. Em alguns países utiliza-se o benchmark conjunto da eficiência dos gastos totais, ou TOTEX, como forma de diminuir o viés ao CAPEX. Também são utilizados Planos de Investimentos que provêm informação para que as receitas permitidas no ciclo tarifário sejam construídas utilizando-se não apenas o histórico de investimento da empresa. Neste caso específico, ainda, utiliza-se ampla consulta aos consumidores para a construção desse plano de investimentos, de forma a trazer mais legitimidade e menor assimetria de informação na avaliação do plano. No caso específico brasileiro, poder-se-ia realizar uma análise de todos os efeitos decorrentes dos investimentos (redução dos custos operacionais, redução das perdas, receitas irrecuperáveis etc.).</w:t>
            </w:r>
          </w:p>
        </w:tc>
        <w:tc>
          <w:tcPr>
            <w:tcW w:w="1229" w:type="dxa"/>
            <w:tcBorders>
              <w:top w:val="single" w:sz="3" w:space="0" w:color="000000"/>
              <w:left w:val="single" w:sz="3" w:space="0" w:color="000000"/>
              <w:bottom w:val="single" w:sz="3" w:space="0" w:color="000000"/>
              <w:right w:val="single" w:sz="3" w:space="0" w:color="000000"/>
            </w:tcBorders>
            <w:vAlign w:val="center"/>
          </w:tcPr>
          <w:p w14:paraId="156B8461"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58C2465E" w14:textId="32779D54" w:rsidR="00541219" w:rsidRDefault="00000000" w:rsidP="00733A86">
            <w:pPr>
              <w:spacing w:after="0"/>
              <w:ind w:left="5" w:firstLine="0"/>
              <w:jc w:val="both"/>
            </w:pPr>
            <w:r>
              <w:t xml:space="preserve">Troca de medidores implica em investimentos que serão remunerados pela tarifa, assim sendo, devem também ser compensados com a redução dos custos operacionais. Não deve existir investimento sem a adequada análise de custo-benefício a ser revertida em efetiva modicidade tarifária. Assim sendo, não pode ocorrer o descasamento de reconhecimento de investimentos entre revisões e o reconhecimento de menores custos operacionais entre revisões. Concordamos com a Aneel de que deve sempre ser discutida a consulta aos consumidores através de seus </w:t>
            </w:r>
            <w:r w:rsidR="00733A86">
              <w:t>respectivos Conselhos</w:t>
            </w:r>
            <w:r>
              <w:t xml:space="preserve"> de Consumidores de Energia Elétrica instituídos pela Lei nº 8.631/1993 e regulados pela REN nº 963/2021.</w:t>
            </w:r>
          </w:p>
        </w:tc>
      </w:tr>
      <w:tr w:rsidR="00541219" w14:paraId="4E6AD6BD" w14:textId="77777777">
        <w:trPr>
          <w:trHeight w:val="845"/>
        </w:trPr>
        <w:tc>
          <w:tcPr>
            <w:tcW w:w="5344" w:type="dxa"/>
            <w:tcBorders>
              <w:top w:val="single" w:sz="3" w:space="0" w:color="000000"/>
              <w:left w:val="single" w:sz="3" w:space="0" w:color="000000"/>
              <w:bottom w:val="single" w:sz="3" w:space="0" w:color="000000"/>
              <w:right w:val="single" w:sz="3" w:space="0" w:color="000000"/>
            </w:tcBorders>
          </w:tcPr>
          <w:p w14:paraId="4D4A71F5" w14:textId="77777777" w:rsidR="00541219" w:rsidRDefault="00000000">
            <w:pPr>
              <w:spacing w:after="0"/>
              <w:ind w:left="0" w:firstLine="0"/>
            </w:pPr>
            <w:r>
              <w:rPr>
                <w:sz w:val="8"/>
              </w:rPr>
              <w:t xml:space="preserve">55. A alternativa de reconhecimento de ativos </w:t>
            </w:r>
            <w:proofErr w:type="spellStart"/>
            <w:r>
              <w:rPr>
                <w:sz w:val="8"/>
              </w:rPr>
              <w:t>intraciclo</w:t>
            </w:r>
            <w:proofErr w:type="spellEnd"/>
            <w:r>
              <w:rPr>
                <w:sz w:val="8"/>
              </w:rPr>
              <w:t xml:space="preserve">, por diminuir o risco financeiro de investimento à concessionária, facilitaria investimentos para modernização da rede cujos ativos possuem vida útil mais curta, retirando questões associadas ao não reconhecimento de depreciação até a próxima revisão tarifária. Portanto, isso implica, necessariamente, em investimentos mais homogêneos ao longo do ciclo tarifário, melhora dos padrões de resiliência da rede e em aumento de qualidade do serviço. Nesta lógica, e ainda na linha de manter contrapartidas de incentivos, há necessidade de estabelecimento de condicionantes, ou mecanismos de balanceamento, para adoção dessa alternativa de reconhecimento de custos de capital e de operação </w:t>
            </w:r>
            <w:proofErr w:type="spellStart"/>
            <w:r>
              <w:rPr>
                <w:sz w:val="8"/>
              </w:rPr>
              <w:t>intraciclo</w:t>
            </w:r>
            <w:proofErr w:type="spellEnd"/>
            <w:r>
              <w:rPr>
                <w:sz w:val="8"/>
              </w:rPr>
              <w:t>, como índices mais exigentes de qualidade na prestação do serviço, por exemplo. Pode-se citar também a experiência do Reino Unido ao permitir que a empresa escolha entre um reconhecimento de custos de ativos menor, mas também incentivos maiores, que possibilita que a empresa retenha mais ganhos caso alcance redução de custos maior que o valor regulatório, ou um reconhecimento de custos de capital maior combinado com retorno esperado menor.</w:t>
            </w:r>
          </w:p>
        </w:tc>
        <w:tc>
          <w:tcPr>
            <w:tcW w:w="4920" w:type="dxa"/>
            <w:gridSpan w:val="2"/>
            <w:vMerge w:val="restart"/>
            <w:tcBorders>
              <w:top w:val="single" w:sz="3" w:space="0" w:color="000000"/>
              <w:left w:val="single" w:sz="3" w:space="0" w:color="000000"/>
              <w:bottom w:val="nil"/>
              <w:right w:val="nil"/>
            </w:tcBorders>
          </w:tcPr>
          <w:p w14:paraId="3C02B1C6" w14:textId="77777777" w:rsidR="00541219" w:rsidRDefault="00541219">
            <w:pPr>
              <w:spacing w:after="160"/>
              <w:ind w:left="0" w:firstLine="0"/>
            </w:pPr>
          </w:p>
        </w:tc>
      </w:tr>
      <w:tr w:rsidR="00541219" w14:paraId="7618DC57" w14:textId="77777777">
        <w:trPr>
          <w:trHeight w:val="658"/>
        </w:trPr>
        <w:tc>
          <w:tcPr>
            <w:tcW w:w="5344" w:type="dxa"/>
            <w:tcBorders>
              <w:top w:val="single" w:sz="3" w:space="0" w:color="000000"/>
              <w:left w:val="single" w:sz="3" w:space="0" w:color="000000"/>
              <w:bottom w:val="single" w:sz="3" w:space="0" w:color="000000"/>
              <w:right w:val="single" w:sz="3" w:space="0" w:color="000000"/>
            </w:tcBorders>
          </w:tcPr>
          <w:p w14:paraId="73BCFA62" w14:textId="77777777" w:rsidR="00541219" w:rsidRDefault="00000000">
            <w:pPr>
              <w:spacing w:after="0"/>
              <w:ind w:left="0" w:right="11" w:firstLine="0"/>
            </w:pPr>
            <w:r>
              <w:rPr>
                <w:sz w:val="8"/>
              </w:rPr>
              <w:t xml:space="preserve">56. Esse exemplo do Reino Unido é a aplicação prática do que a literatura classifica como “menu de contratos”. Há dificuldade por parte do regulador para lidar com a assimetria de informação, ou informação imperfeita, que pode levar a problemas relacionados com seleção adversa a respeito da real necessidade da distribuidora em aumentar investimento em ativos. Sendo assim, a possibilidade de ofertar diferentes opções que incentivem a empresa a revelar suas verdadeiras características e preferências leva à maximização do bem-estar social, pois equilibra o reconhecimento de custos da empresa e os benefícios para o consumidor. No caso específico, a adoção do reconhecimento de custos de capital e de operação </w:t>
            </w:r>
            <w:proofErr w:type="spellStart"/>
            <w:r>
              <w:rPr>
                <w:sz w:val="8"/>
              </w:rPr>
              <w:t>intraciclo</w:t>
            </w:r>
            <w:proofErr w:type="spellEnd"/>
            <w:r>
              <w:rPr>
                <w:sz w:val="8"/>
              </w:rPr>
              <w:t xml:space="preserve"> é uma opção que deve carregar consigo outras alterações regulatórias (como mencionado, níveis de qualidade diferenciados, menor retorno </w:t>
            </w:r>
            <w:proofErr w:type="gramStart"/>
            <w:r>
              <w:rPr>
                <w:sz w:val="8"/>
              </w:rPr>
              <w:t xml:space="preserve">esperado, </w:t>
            </w:r>
            <w:proofErr w:type="spellStart"/>
            <w:r>
              <w:rPr>
                <w:sz w:val="8"/>
              </w:rPr>
              <w:t>etc</w:t>
            </w:r>
            <w:proofErr w:type="spellEnd"/>
            <w:proofErr w:type="gramEnd"/>
            <w:r>
              <w:rPr>
                <w:sz w:val="8"/>
              </w:rPr>
              <w:t>). Do contrário, pode trazer diminuição do bem-estar social.</w:t>
            </w:r>
          </w:p>
        </w:tc>
        <w:tc>
          <w:tcPr>
            <w:tcW w:w="0" w:type="auto"/>
            <w:gridSpan w:val="2"/>
            <w:vMerge/>
            <w:tcBorders>
              <w:top w:val="nil"/>
              <w:left w:val="single" w:sz="3" w:space="0" w:color="000000"/>
              <w:bottom w:val="nil"/>
              <w:right w:val="nil"/>
            </w:tcBorders>
          </w:tcPr>
          <w:p w14:paraId="33DE66C1" w14:textId="77777777" w:rsidR="00541219" w:rsidRDefault="00541219">
            <w:pPr>
              <w:spacing w:after="160"/>
              <w:ind w:left="0" w:firstLine="0"/>
            </w:pPr>
          </w:p>
        </w:tc>
      </w:tr>
      <w:tr w:rsidR="00541219" w14:paraId="234B9203" w14:textId="77777777">
        <w:trPr>
          <w:trHeight w:val="658"/>
        </w:trPr>
        <w:tc>
          <w:tcPr>
            <w:tcW w:w="5344" w:type="dxa"/>
            <w:tcBorders>
              <w:top w:val="single" w:sz="3" w:space="0" w:color="000000"/>
              <w:left w:val="single" w:sz="3" w:space="0" w:color="000000"/>
              <w:bottom w:val="single" w:sz="3" w:space="0" w:color="000000"/>
              <w:right w:val="single" w:sz="3" w:space="0" w:color="000000"/>
            </w:tcBorders>
          </w:tcPr>
          <w:p w14:paraId="32C9FAD4" w14:textId="77777777" w:rsidR="00541219" w:rsidRDefault="00000000">
            <w:pPr>
              <w:spacing w:after="0" w:line="252" w:lineRule="auto"/>
              <w:ind w:left="0" w:firstLine="0"/>
            </w:pPr>
            <w:r>
              <w:rPr>
                <w:sz w:val="8"/>
              </w:rPr>
              <w:t xml:space="preserve">57. Há um ponto que deve ser esclarecido: quando o Decreto 12.068/24 destaca a preservação do princípio do equilíbrio econômico-financeiro na possibilidade de reconhecimento de custo de capital e de operação entre revisões, entende-se que tanto as adições quanto as baixas na base de </w:t>
            </w:r>
          </w:p>
          <w:p w14:paraId="09A86F5C" w14:textId="77777777" w:rsidR="00541219" w:rsidRDefault="00000000">
            <w:pPr>
              <w:spacing w:after="0"/>
              <w:ind w:left="0" w:firstLine="0"/>
            </w:pPr>
            <w:proofErr w:type="gramStart"/>
            <w:r>
              <w:rPr>
                <w:sz w:val="8"/>
              </w:rPr>
              <w:t>remuneração podem</w:t>
            </w:r>
            <w:proofErr w:type="gramEnd"/>
            <w:r>
              <w:rPr>
                <w:sz w:val="8"/>
              </w:rPr>
              <w:t xml:space="preserve"> ser feitas, bem como o efeito da depreciação acumulada, mantendo-se, assim, o princípio. Entretanto, esse modelo traz a elevação do custo regulatório, porque seria semelhante a uma revisão anual. Há necessidade de análises específicas por parte da ANEEL e seria necessário um aparato operacional mais robusto tanto por parte da ANEEL, para poder processar os dados sobre base de remuneração e sua amortização anual, assim como o estabelecimento de novos custos operacionais, quanto por parte das concessionárias, no que tange ao fornecimento célere de informações necessárias e que serão fiscalizadas.</w:t>
            </w:r>
          </w:p>
        </w:tc>
        <w:tc>
          <w:tcPr>
            <w:tcW w:w="0" w:type="auto"/>
            <w:gridSpan w:val="2"/>
            <w:vMerge/>
            <w:tcBorders>
              <w:top w:val="nil"/>
              <w:left w:val="single" w:sz="3" w:space="0" w:color="000000"/>
              <w:bottom w:val="nil"/>
              <w:right w:val="nil"/>
            </w:tcBorders>
          </w:tcPr>
          <w:p w14:paraId="1DC4D5D2" w14:textId="77777777" w:rsidR="00541219" w:rsidRDefault="00541219">
            <w:pPr>
              <w:spacing w:after="160"/>
              <w:ind w:left="0" w:firstLine="0"/>
            </w:pPr>
          </w:p>
        </w:tc>
      </w:tr>
    </w:tbl>
    <w:p w14:paraId="252D43D3" w14:textId="77777777" w:rsidR="00541219" w:rsidRDefault="00541219">
      <w:pPr>
        <w:spacing w:after="0"/>
        <w:ind w:left="-1440" w:right="8609" w:firstLine="0"/>
      </w:pPr>
    </w:p>
    <w:tbl>
      <w:tblPr>
        <w:tblStyle w:val="TableGrid"/>
        <w:tblW w:w="10264" w:type="dxa"/>
        <w:tblInd w:w="-688" w:type="dxa"/>
        <w:tblCellMar>
          <w:top w:w="0" w:type="dxa"/>
          <w:left w:w="19" w:type="dxa"/>
          <w:bottom w:w="0" w:type="dxa"/>
          <w:right w:w="29" w:type="dxa"/>
        </w:tblCellMar>
        <w:tblLook w:val="04A0" w:firstRow="1" w:lastRow="0" w:firstColumn="1" w:lastColumn="0" w:noHBand="0" w:noVBand="1"/>
      </w:tblPr>
      <w:tblGrid>
        <w:gridCol w:w="5344"/>
        <w:gridCol w:w="1229"/>
        <w:gridCol w:w="3691"/>
      </w:tblGrid>
      <w:tr w:rsidR="00541219" w14:paraId="290A09A0" w14:textId="77777777">
        <w:trPr>
          <w:trHeight w:val="150"/>
        </w:trPr>
        <w:tc>
          <w:tcPr>
            <w:tcW w:w="10264" w:type="dxa"/>
            <w:gridSpan w:val="3"/>
            <w:tcBorders>
              <w:top w:val="single" w:sz="6" w:space="0" w:color="000000"/>
              <w:left w:val="single" w:sz="6" w:space="0" w:color="000000"/>
              <w:bottom w:val="single" w:sz="3" w:space="0" w:color="000000"/>
              <w:right w:val="single" w:sz="6" w:space="0" w:color="000000"/>
            </w:tcBorders>
          </w:tcPr>
          <w:p w14:paraId="548FBB1C" w14:textId="77777777" w:rsidR="00541219" w:rsidRDefault="00000000">
            <w:pPr>
              <w:spacing w:after="0"/>
              <w:ind w:left="25" w:firstLine="0"/>
              <w:jc w:val="center"/>
            </w:pPr>
            <w:r>
              <w:rPr>
                <w:color w:val="0000FF"/>
                <w:sz w:val="12"/>
              </w:rPr>
              <w:t>CONTRIBUIÇÃO REFERENTE À CONSULTA PÚBLICA Nº 27/2024</w:t>
            </w:r>
          </w:p>
        </w:tc>
      </w:tr>
      <w:tr w:rsidR="00541219" w14:paraId="42DB81E9" w14:textId="77777777">
        <w:trPr>
          <w:trHeight w:val="149"/>
        </w:trPr>
        <w:tc>
          <w:tcPr>
            <w:tcW w:w="10264" w:type="dxa"/>
            <w:gridSpan w:val="3"/>
            <w:tcBorders>
              <w:top w:val="single" w:sz="3" w:space="0" w:color="000000"/>
              <w:left w:val="single" w:sz="6" w:space="0" w:color="000000"/>
              <w:bottom w:val="single" w:sz="3" w:space="0" w:color="000000"/>
              <w:right w:val="single" w:sz="6" w:space="0" w:color="000000"/>
            </w:tcBorders>
          </w:tcPr>
          <w:p w14:paraId="011FFA8C" w14:textId="77777777" w:rsidR="00541219" w:rsidRDefault="00000000">
            <w:pPr>
              <w:spacing w:after="0"/>
              <w:ind w:left="13" w:firstLine="0"/>
              <w:jc w:val="center"/>
            </w:pPr>
            <w:r>
              <w:rPr>
                <w:color w:val="0000FF"/>
                <w:sz w:val="12"/>
              </w:rPr>
              <w:t>NOME DA INSTITUIÇÃO: CONCEN Conselho de Consumidores da Energisa Mato Grosso do Sul</w:t>
            </w:r>
          </w:p>
        </w:tc>
      </w:tr>
      <w:tr w:rsidR="00541219" w14:paraId="5BDC8990" w14:textId="77777777">
        <w:trPr>
          <w:trHeight w:val="149"/>
        </w:trPr>
        <w:tc>
          <w:tcPr>
            <w:tcW w:w="10264" w:type="dxa"/>
            <w:gridSpan w:val="3"/>
            <w:tcBorders>
              <w:top w:val="single" w:sz="3" w:space="0" w:color="000000"/>
              <w:left w:val="single" w:sz="6" w:space="0" w:color="000000"/>
              <w:bottom w:val="single" w:sz="3" w:space="0" w:color="000000"/>
              <w:right w:val="single" w:sz="6" w:space="0" w:color="000000"/>
            </w:tcBorders>
          </w:tcPr>
          <w:p w14:paraId="7A139232" w14:textId="77777777" w:rsidR="00541219" w:rsidRDefault="00000000">
            <w:pPr>
              <w:tabs>
                <w:tab w:val="center" w:pos="626"/>
                <w:tab w:val="center" w:pos="5122"/>
              </w:tabs>
              <w:spacing w:after="0"/>
              <w:ind w:left="0" w:firstLine="0"/>
            </w:pPr>
            <w:r>
              <w:rPr>
                <w:rFonts w:ascii="Calibri" w:eastAsia="Calibri" w:hAnsi="Calibri" w:cs="Calibri"/>
                <w:sz w:val="22"/>
              </w:rPr>
              <w:tab/>
            </w:r>
            <w:r>
              <w:rPr>
                <w:noProof/>
              </w:rPr>
              <w:drawing>
                <wp:inline distT="0" distB="0" distL="0" distR="0" wp14:anchorId="3059922D" wp14:editId="7749937F">
                  <wp:extent cx="585216" cy="362712"/>
                  <wp:effectExtent l="0" t="0" r="0" b="0"/>
                  <wp:docPr id="1390" name="Picture 1390"/>
                  <wp:cNvGraphicFramePr/>
                  <a:graphic xmlns:a="http://schemas.openxmlformats.org/drawingml/2006/main">
                    <a:graphicData uri="http://schemas.openxmlformats.org/drawingml/2006/picture">
                      <pic:pic xmlns:pic="http://schemas.openxmlformats.org/drawingml/2006/picture">
                        <pic:nvPicPr>
                          <pic:cNvPr id="1390" name="Picture 1390"/>
                          <pic:cNvPicPr/>
                        </pic:nvPicPr>
                        <pic:blipFill>
                          <a:blip r:embed="rId5"/>
                          <a:stretch>
                            <a:fillRect/>
                          </a:stretch>
                        </pic:blipFill>
                        <pic:spPr>
                          <a:xfrm>
                            <a:off x="0" y="0"/>
                            <a:ext cx="585216" cy="362712"/>
                          </a:xfrm>
                          <a:prstGeom prst="rect">
                            <a:avLst/>
                          </a:prstGeom>
                        </pic:spPr>
                      </pic:pic>
                    </a:graphicData>
                  </a:graphic>
                </wp:inline>
              </w:drawing>
            </w:r>
            <w:r>
              <w:rPr>
                <w:color w:val="0000FF"/>
                <w:sz w:val="12"/>
              </w:rPr>
              <w:tab/>
              <w:t>AGÊNCIA NACIONAL DE ENERGIA ELÉTRICA – ANEEL</w:t>
            </w:r>
          </w:p>
        </w:tc>
      </w:tr>
      <w:tr w:rsidR="00541219" w14:paraId="3F3482CD" w14:textId="77777777">
        <w:trPr>
          <w:trHeight w:val="178"/>
        </w:trPr>
        <w:tc>
          <w:tcPr>
            <w:tcW w:w="10264" w:type="dxa"/>
            <w:gridSpan w:val="3"/>
            <w:tcBorders>
              <w:top w:val="single" w:sz="3" w:space="0" w:color="000000"/>
              <w:left w:val="single" w:sz="6" w:space="0" w:color="000000"/>
              <w:bottom w:val="single" w:sz="3" w:space="0" w:color="000000"/>
              <w:right w:val="single" w:sz="6" w:space="0" w:color="000000"/>
            </w:tcBorders>
          </w:tcPr>
          <w:p w14:paraId="36964DD4" w14:textId="77777777" w:rsidR="00541219" w:rsidRDefault="00000000">
            <w:pPr>
              <w:spacing w:after="0"/>
              <w:ind w:left="23" w:firstLine="0"/>
              <w:jc w:val="center"/>
            </w:pPr>
            <w:r>
              <w:rPr>
                <w:color w:val="0000FF"/>
              </w:rPr>
              <w:t>NOTA TÉCNICA nº 1.056/2024-SCE-SFF-SFT-SMA-STE-STD-STR/ANEEL de 09 de outubro de 2024.</w:t>
            </w:r>
          </w:p>
        </w:tc>
      </w:tr>
      <w:tr w:rsidR="00541219" w14:paraId="52573B8C" w14:textId="77777777">
        <w:trPr>
          <w:trHeight w:val="194"/>
        </w:trPr>
        <w:tc>
          <w:tcPr>
            <w:tcW w:w="10264" w:type="dxa"/>
            <w:gridSpan w:val="3"/>
            <w:tcBorders>
              <w:top w:val="single" w:sz="3" w:space="0" w:color="000000"/>
              <w:left w:val="single" w:sz="6" w:space="0" w:color="000000"/>
              <w:bottom w:val="single" w:sz="3" w:space="0" w:color="000000"/>
              <w:right w:val="single" w:sz="6" w:space="0" w:color="000000"/>
            </w:tcBorders>
          </w:tcPr>
          <w:p w14:paraId="5C8AC292" w14:textId="77777777" w:rsidR="00541219" w:rsidRDefault="00000000">
            <w:pPr>
              <w:spacing w:after="0"/>
              <w:ind w:left="11" w:firstLine="0"/>
              <w:jc w:val="center"/>
            </w:pPr>
            <w:r>
              <w:rPr>
                <w:color w:val="0000FF"/>
              </w:rPr>
              <w:t xml:space="preserve">                                                               EMENTA: Obter subsídios para o aprimoramento da minuta de termo aditivo ao contrato de concessão de distribuição de energia elétrica com vistas à prorrogação das concessões.</w:t>
            </w:r>
          </w:p>
        </w:tc>
      </w:tr>
      <w:tr w:rsidR="00541219" w14:paraId="0DB0FECE" w14:textId="77777777">
        <w:trPr>
          <w:trHeight w:val="132"/>
        </w:trPr>
        <w:tc>
          <w:tcPr>
            <w:tcW w:w="10264" w:type="dxa"/>
            <w:gridSpan w:val="3"/>
            <w:tcBorders>
              <w:top w:val="single" w:sz="3" w:space="0" w:color="000000"/>
              <w:left w:val="single" w:sz="6" w:space="0" w:color="000000"/>
              <w:bottom w:val="single" w:sz="3" w:space="0" w:color="000000"/>
              <w:right w:val="single" w:sz="6" w:space="0" w:color="000000"/>
            </w:tcBorders>
          </w:tcPr>
          <w:p w14:paraId="779441E6" w14:textId="77777777" w:rsidR="00541219" w:rsidRDefault="00000000">
            <w:pPr>
              <w:spacing w:after="0"/>
              <w:ind w:left="10" w:firstLine="0"/>
              <w:jc w:val="center"/>
            </w:pPr>
            <w:r>
              <w:rPr>
                <w:color w:val="0000FF"/>
                <w:sz w:val="11"/>
              </w:rPr>
              <w:t>CONTRIBUIÇÕES RECEBIDAS</w:t>
            </w:r>
          </w:p>
        </w:tc>
      </w:tr>
      <w:tr w:rsidR="00541219" w14:paraId="625DA0F8" w14:textId="77777777">
        <w:trPr>
          <w:trHeight w:val="275"/>
        </w:trPr>
        <w:tc>
          <w:tcPr>
            <w:tcW w:w="10264" w:type="dxa"/>
            <w:gridSpan w:val="3"/>
            <w:tcBorders>
              <w:top w:val="single" w:sz="3" w:space="0" w:color="000000"/>
              <w:left w:val="single" w:sz="6" w:space="0" w:color="000000"/>
              <w:bottom w:val="single" w:sz="6" w:space="0" w:color="000000"/>
              <w:right w:val="single" w:sz="6" w:space="0" w:color="000000"/>
            </w:tcBorders>
          </w:tcPr>
          <w:p w14:paraId="5A2BEE31" w14:textId="77777777" w:rsidR="00541219" w:rsidRDefault="00000000">
            <w:pPr>
              <w:spacing w:after="0"/>
              <w:ind w:left="0" w:firstLine="0"/>
            </w:pPr>
            <w:r>
              <w:t>IMPORTANTE: Os comentários e sugestões referentes às contribuições deverão ser fundamentados e justificados, mencionando-se os artigos, parágrafos e incisos a que se referem, devendo ser acompanhados de textos alternativos e substitutivos quando envolverem sugestões de inclusão ou alteração, parcial ou total, de qualquer dispositivo.</w:t>
            </w:r>
          </w:p>
        </w:tc>
      </w:tr>
      <w:tr w:rsidR="00541219" w14:paraId="75D247BF" w14:textId="77777777">
        <w:trPr>
          <w:trHeight w:val="213"/>
        </w:trPr>
        <w:tc>
          <w:tcPr>
            <w:tcW w:w="5344" w:type="dxa"/>
            <w:tcBorders>
              <w:top w:val="single" w:sz="6" w:space="0" w:color="000000"/>
              <w:left w:val="single" w:sz="6" w:space="0" w:color="000000"/>
              <w:bottom w:val="double" w:sz="4" w:space="0" w:color="000000"/>
              <w:right w:val="single" w:sz="6" w:space="0" w:color="000000"/>
            </w:tcBorders>
            <w:shd w:val="clear" w:color="auto" w:fill="FF0000"/>
          </w:tcPr>
          <w:p w14:paraId="3CF53BC3" w14:textId="77777777" w:rsidR="00541219" w:rsidRDefault="00000000">
            <w:pPr>
              <w:spacing w:after="0"/>
              <w:ind w:left="12" w:firstLine="0"/>
              <w:jc w:val="center"/>
            </w:pPr>
            <w:r>
              <w:rPr>
                <w:color w:val="FFFFFF"/>
                <w:sz w:val="11"/>
              </w:rPr>
              <w:t xml:space="preserve">TEXTO/ANEEL </w:t>
            </w:r>
          </w:p>
        </w:tc>
        <w:tc>
          <w:tcPr>
            <w:tcW w:w="1229" w:type="dxa"/>
            <w:tcBorders>
              <w:top w:val="single" w:sz="6" w:space="0" w:color="000000"/>
              <w:left w:val="single" w:sz="6" w:space="0" w:color="000000"/>
              <w:bottom w:val="single" w:sz="6" w:space="0" w:color="000000"/>
              <w:right w:val="single" w:sz="6" w:space="0" w:color="000000"/>
            </w:tcBorders>
            <w:shd w:val="clear" w:color="auto" w:fill="FF0000"/>
          </w:tcPr>
          <w:p w14:paraId="2702705F" w14:textId="77777777" w:rsidR="00541219" w:rsidRDefault="00000000">
            <w:pPr>
              <w:spacing w:after="0"/>
              <w:ind w:left="70" w:firstLine="0"/>
            </w:pPr>
            <w:r>
              <w:rPr>
                <w:color w:val="FFFFFF"/>
                <w:sz w:val="11"/>
              </w:rPr>
              <w:t>TEXTO/INSTITUIÇÃO</w:t>
            </w:r>
          </w:p>
        </w:tc>
        <w:tc>
          <w:tcPr>
            <w:tcW w:w="3691" w:type="dxa"/>
            <w:tcBorders>
              <w:top w:val="single" w:sz="6" w:space="0" w:color="000000"/>
              <w:left w:val="single" w:sz="6" w:space="0" w:color="000000"/>
              <w:bottom w:val="single" w:sz="6" w:space="0" w:color="000000"/>
              <w:right w:val="single" w:sz="6" w:space="0" w:color="000000"/>
            </w:tcBorders>
            <w:shd w:val="clear" w:color="auto" w:fill="FF0000"/>
          </w:tcPr>
          <w:p w14:paraId="239DBFC2" w14:textId="77777777" w:rsidR="00541219" w:rsidRDefault="00000000">
            <w:pPr>
              <w:spacing w:after="0"/>
              <w:ind w:left="30" w:firstLine="0"/>
              <w:jc w:val="center"/>
            </w:pPr>
            <w:r>
              <w:rPr>
                <w:color w:val="FFFFFF"/>
                <w:sz w:val="11"/>
              </w:rPr>
              <w:t>JUSTIFICATIVA/INSTITUIÇÃO</w:t>
            </w:r>
          </w:p>
        </w:tc>
      </w:tr>
      <w:tr w:rsidR="00541219" w14:paraId="4FEA4B93" w14:textId="77777777">
        <w:trPr>
          <w:trHeight w:val="950"/>
        </w:trPr>
        <w:tc>
          <w:tcPr>
            <w:tcW w:w="5344" w:type="dxa"/>
            <w:tcBorders>
              <w:top w:val="double" w:sz="4" w:space="0" w:color="000000"/>
              <w:left w:val="single" w:sz="3" w:space="0" w:color="000000"/>
              <w:bottom w:val="single" w:sz="3" w:space="0" w:color="000000"/>
              <w:right w:val="single" w:sz="3" w:space="0" w:color="000000"/>
            </w:tcBorders>
          </w:tcPr>
          <w:p w14:paraId="1F175529" w14:textId="77777777" w:rsidR="00541219" w:rsidRDefault="00000000">
            <w:pPr>
              <w:spacing w:after="0"/>
              <w:ind w:left="0" w:firstLine="0"/>
            </w:pPr>
            <w:r>
              <w:rPr>
                <w:sz w:val="8"/>
              </w:rPr>
              <w:t xml:space="preserve">58. Uma alternativa ao reconhecimento de custos entre revisões seria o recálculo do componente </w:t>
            </w:r>
            <w:proofErr w:type="spellStart"/>
            <w:r>
              <w:rPr>
                <w:sz w:val="8"/>
              </w:rPr>
              <w:t>Pd</w:t>
            </w:r>
            <w:proofErr w:type="spellEnd"/>
            <w:r>
              <w:rPr>
                <w:sz w:val="8"/>
              </w:rPr>
              <w:t xml:space="preserve"> do Fator X a cada processo tarifário, semelhante ao </w:t>
            </w:r>
            <w:proofErr w:type="spellStart"/>
            <w:r>
              <w:rPr>
                <w:sz w:val="8"/>
              </w:rPr>
              <w:t>Pd</w:t>
            </w:r>
            <w:proofErr w:type="spellEnd"/>
            <w:r>
              <w:rPr>
                <w:sz w:val="8"/>
              </w:rPr>
              <w:t xml:space="preserve"> dinâmico do contrato novo, mas considerando outros aspectos como a evolução dos investimentos, dos custos operacionais e dos benefícios decorrentes. O avanço das novas tecnologias, como a geração distribuída e a implementação de medidores inteligentes podem ampliar a diferença entre a produtividade histórica e a futura, sendo o cálculo do </w:t>
            </w:r>
            <w:proofErr w:type="spellStart"/>
            <w:r>
              <w:rPr>
                <w:sz w:val="8"/>
              </w:rPr>
              <w:t>Pd</w:t>
            </w:r>
            <w:proofErr w:type="spellEnd"/>
            <w:r>
              <w:rPr>
                <w:sz w:val="8"/>
              </w:rPr>
              <w:t xml:space="preserve"> anual um mecanismo de mitigação de riscos do concessionário. Esse cálculo também pode mitigar eventuais descasamentos entre o nível de investimento entre revisões e a depreciação anual dos ativos, o que daria tratamento à eventual perda de reconhecimento tarifário da depreciação dos investimentos entre ciclos. Ainda, o recálculo do componente </w:t>
            </w:r>
            <w:proofErr w:type="spellStart"/>
            <w:r>
              <w:rPr>
                <w:sz w:val="8"/>
              </w:rPr>
              <w:t>Pd</w:t>
            </w:r>
            <w:proofErr w:type="spellEnd"/>
            <w:r>
              <w:rPr>
                <w:sz w:val="8"/>
              </w:rPr>
              <w:t xml:space="preserve"> poderia ser feito de forma mais individualizada a cada concessionária, adaptado à sua realidade. Ou seja, seria a adaptação de um mecanismo já utilizado no processo tarifário e que apresentar menor custo de transação. Portanto, ao se iniciar a discussão sobre a regulamentação do reconhecimento de custos de ativos e de operação </w:t>
            </w:r>
            <w:proofErr w:type="spellStart"/>
            <w:r>
              <w:rPr>
                <w:sz w:val="8"/>
              </w:rPr>
              <w:t>intra</w:t>
            </w:r>
            <w:proofErr w:type="spellEnd"/>
            <w:r>
              <w:rPr>
                <w:sz w:val="8"/>
              </w:rPr>
              <w:t xml:space="preserve"> ciclo, essa poderia ser mais uma das alternativas a serem trazidas no relatório de Análise de Impacto Regulatório.</w:t>
            </w:r>
          </w:p>
        </w:tc>
        <w:tc>
          <w:tcPr>
            <w:tcW w:w="4920" w:type="dxa"/>
            <w:gridSpan w:val="2"/>
            <w:vMerge w:val="restart"/>
            <w:tcBorders>
              <w:top w:val="single" w:sz="6" w:space="0" w:color="000000"/>
              <w:left w:val="single" w:sz="3" w:space="0" w:color="000000"/>
              <w:bottom w:val="single" w:sz="3" w:space="0" w:color="000000"/>
              <w:right w:val="nil"/>
            </w:tcBorders>
          </w:tcPr>
          <w:p w14:paraId="5D2AD997" w14:textId="77777777" w:rsidR="00541219" w:rsidRDefault="00541219">
            <w:pPr>
              <w:spacing w:after="160"/>
              <w:ind w:left="0" w:firstLine="0"/>
            </w:pPr>
          </w:p>
        </w:tc>
      </w:tr>
      <w:tr w:rsidR="00541219" w14:paraId="46549EED" w14:textId="77777777">
        <w:trPr>
          <w:trHeight w:val="564"/>
        </w:trPr>
        <w:tc>
          <w:tcPr>
            <w:tcW w:w="5344" w:type="dxa"/>
            <w:tcBorders>
              <w:top w:val="single" w:sz="3" w:space="0" w:color="000000"/>
              <w:left w:val="single" w:sz="3" w:space="0" w:color="000000"/>
              <w:bottom w:val="single" w:sz="3" w:space="0" w:color="000000"/>
              <w:right w:val="single" w:sz="3" w:space="0" w:color="000000"/>
            </w:tcBorders>
          </w:tcPr>
          <w:p w14:paraId="6A621872" w14:textId="77777777" w:rsidR="00541219" w:rsidRDefault="00000000">
            <w:pPr>
              <w:spacing w:after="0"/>
              <w:ind w:left="0" w:right="3" w:firstLine="0"/>
            </w:pPr>
            <w:r>
              <w:rPr>
                <w:sz w:val="8"/>
              </w:rPr>
              <w:t xml:space="preserve">59. Como último ponto a ser destacado, é fundamental lembrar que, em concessões sob modelo de </w:t>
            </w:r>
            <w:proofErr w:type="spellStart"/>
            <w:r>
              <w:rPr>
                <w:sz w:val="8"/>
              </w:rPr>
              <w:t>price</w:t>
            </w:r>
            <w:proofErr w:type="spellEnd"/>
            <w:r>
              <w:rPr>
                <w:sz w:val="8"/>
              </w:rPr>
              <w:t xml:space="preserve">-cap e ainda em expansão e/ou com alto potencial de redução de perdas, o mercado que é agregado já consiste em grande financiador dos novos investimentos e poderia dispensar o reconhecimento dos custos de capital entre revisões. Na verdade, a regulação do setor de distribuição já tem por trás a premissa de que a receita cresce mais que os custos, tanto que o componente </w:t>
            </w:r>
            <w:proofErr w:type="spellStart"/>
            <w:r>
              <w:rPr>
                <w:sz w:val="8"/>
              </w:rPr>
              <w:t>Pd</w:t>
            </w:r>
            <w:proofErr w:type="spellEnd"/>
            <w:r>
              <w:rPr>
                <w:sz w:val="8"/>
              </w:rPr>
              <w:t xml:space="preserve"> do Fator X busca compartilhar esses ganhos com o consumidor. Por outro lado, isso já não ocorreria no caso de concessões sob modelo de </w:t>
            </w:r>
            <w:proofErr w:type="spellStart"/>
            <w:r>
              <w:rPr>
                <w:sz w:val="8"/>
              </w:rPr>
              <w:t>revenue</w:t>
            </w:r>
            <w:proofErr w:type="spellEnd"/>
            <w:r>
              <w:rPr>
                <w:sz w:val="8"/>
              </w:rPr>
              <w:t>-cap, cujo risco de mercado não é da distribuidora, e com mercados estáveis ou em declínio.</w:t>
            </w:r>
          </w:p>
        </w:tc>
        <w:tc>
          <w:tcPr>
            <w:tcW w:w="0" w:type="auto"/>
            <w:gridSpan w:val="2"/>
            <w:vMerge/>
            <w:tcBorders>
              <w:top w:val="nil"/>
              <w:left w:val="single" w:sz="3" w:space="0" w:color="000000"/>
              <w:bottom w:val="single" w:sz="3" w:space="0" w:color="000000"/>
              <w:right w:val="nil"/>
            </w:tcBorders>
          </w:tcPr>
          <w:p w14:paraId="5050C9A5" w14:textId="77777777" w:rsidR="00541219" w:rsidRDefault="00541219">
            <w:pPr>
              <w:spacing w:after="160"/>
              <w:ind w:left="0" w:firstLine="0"/>
            </w:pPr>
          </w:p>
        </w:tc>
      </w:tr>
      <w:tr w:rsidR="00541219" w14:paraId="6A91B47D" w14:textId="77777777">
        <w:trPr>
          <w:trHeight w:val="470"/>
        </w:trPr>
        <w:tc>
          <w:tcPr>
            <w:tcW w:w="5344" w:type="dxa"/>
            <w:tcBorders>
              <w:top w:val="single" w:sz="3" w:space="0" w:color="000000"/>
              <w:left w:val="single" w:sz="3" w:space="0" w:color="000000"/>
              <w:bottom w:val="single" w:sz="3" w:space="0" w:color="000000"/>
              <w:right w:val="single" w:sz="3" w:space="0" w:color="000000"/>
            </w:tcBorders>
          </w:tcPr>
          <w:p w14:paraId="3761B7B9" w14:textId="77777777" w:rsidR="00541219" w:rsidRDefault="00000000">
            <w:pPr>
              <w:spacing w:after="0" w:line="265" w:lineRule="auto"/>
              <w:ind w:left="0" w:firstLine="0"/>
            </w:pPr>
            <w:r>
              <w:rPr>
                <w:sz w:val="8"/>
              </w:rPr>
              <w:t xml:space="preserve">60. Assim, o instituto do reconhecimento dos investimentos e custo operacional entre revisões pode ser realizado por meio de algumas formas disponíveis, cada uma com suas vantagens e desvantagens e, portanto, risco ao consumidor. É preciso que seja realizado considerando mecanismos de </w:t>
            </w:r>
          </w:p>
          <w:p w14:paraId="3AD214F1" w14:textId="77777777" w:rsidR="00541219" w:rsidRDefault="00000000">
            <w:pPr>
              <w:spacing w:after="0"/>
              <w:ind w:left="0" w:right="72" w:firstLine="0"/>
              <w:jc w:val="both"/>
            </w:pPr>
            <w:r>
              <w:rPr>
                <w:sz w:val="8"/>
              </w:rPr>
              <w:t>balanceamento dos incentivos, ou seja, é necessária uma análise dos seus rebatimentos em outros aspectos do contrato e da regulação. E, ainda, deve ser analisada a necessidade do seu estabelecimento frente à realidade da concessão. Esses pontos de análise são fundamentais para que se alcance o menor custo global da concessão para a sociedade e a consequente proteção do consumidor.</w:t>
            </w:r>
          </w:p>
        </w:tc>
        <w:tc>
          <w:tcPr>
            <w:tcW w:w="1229" w:type="dxa"/>
            <w:tcBorders>
              <w:top w:val="single" w:sz="3" w:space="0" w:color="000000"/>
              <w:left w:val="single" w:sz="3" w:space="0" w:color="000000"/>
              <w:bottom w:val="single" w:sz="3" w:space="0" w:color="000000"/>
              <w:right w:val="single" w:sz="3" w:space="0" w:color="000000"/>
            </w:tcBorders>
            <w:vAlign w:val="center"/>
          </w:tcPr>
          <w:p w14:paraId="287A2823"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vAlign w:val="center"/>
          </w:tcPr>
          <w:p w14:paraId="71627E3C" w14:textId="77777777" w:rsidR="00541219" w:rsidRDefault="00000000">
            <w:pPr>
              <w:spacing w:after="0"/>
              <w:ind w:left="5" w:firstLine="0"/>
            </w:pPr>
            <w:r>
              <w:t>O risco ao consumidor deve ser minimizado e ter preferência ao ganho imediato do investidor.</w:t>
            </w:r>
          </w:p>
        </w:tc>
      </w:tr>
      <w:tr w:rsidR="00541219" w14:paraId="2D7135C7"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72C60071" w14:textId="77777777" w:rsidR="00541219" w:rsidRDefault="00000000">
            <w:pPr>
              <w:spacing w:after="0"/>
              <w:ind w:left="0" w:firstLine="0"/>
            </w:pPr>
            <w:r>
              <w:rPr>
                <w:sz w:val="8"/>
              </w:rPr>
              <w:t>61. De toda forma, para fazer cumprir o disposto no Decreto, o tema deve ser alocado no Contrato de Concessão remetendo a uma futura regulamentação pela ANEEL. Nesse sentido sugere-se a inclusão de inciso na Subcláusula Décima Segunda da Cláusula Sexta com a seguinte redação:</w:t>
            </w:r>
          </w:p>
        </w:tc>
        <w:tc>
          <w:tcPr>
            <w:tcW w:w="4920" w:type="dxa"/>
            <w:gridSpan w:val="2"/>
            <w:vMerge w:val="restart"/>
            <w:tcBorders>
              <w:top w:val="single" w:sz="3" w:space="0" w:color="000000"/>
              <w:left w:val="single" w:sz="3" w:space="0" w:color="000000"/>
              <w:bottom w:val="single" w:sz="3" w:space="0" w:color="000000"/>
              <w:right w:val="nil"/>
            </w:tcBorders>
          </w:tcPr>
          <w:p w14:paraId="310BD182" w14:textId="77777777" w:rsidR="00541219" w:rsidRDefault="00541219">
            <w:pPr>
              <w:spacing w:after="160"/>
              <w:ind w:left="0" w:firstLine="0"/>
            </w:pPr>
          </w:p>
        </w:tc>
      </w:tr>
      <w:tr w:rsidR="00541219" w14:paraId="610C27FA"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6B28ED0E" w14:textId="77777777" w:rsidR="00541219" w:rsidRDefault="00000000">
            <w:pPr>
              <w:spacing w:after="0"/>
              <w:ind w:left="497" w:firstLine="0"/>
            </w:pPr>
            <w:r>
              <w:rPr>
                <w:sz w:val="8"/>
              </w:rPr>
              <w:t xml:space="preserve">     Subcláusula Décima Segunda:</w:t>
            </w:r>
          </w:p>
          <w:p w14:paraId="1C1B2328" w14:textId="77777777" w:rsidR="00541219" w:rsidRDefault="00000000">
            <w:pPr>
              <w:spacing w:after="0"/>
              <w:ind w:left="497" w:firstLine="0"/>
            </w:pPr>
            <w:r>
              <w:rPr>
                <w:sz w:val="8"/>
              </w:rPr>
              <w:t xml:space="preserve">     (...)</w:t>
            </w:r>
          </w:p>
          <w:p w14:paraId="58206CC1" w14:textId="77777777" w:rsidR="00541219" w:rsidRDefault="00000000">
            <w:pPr>
              <w:spacing w:after="0"/>
              <w:ind w:left="497" w:firstLine="0"/>
            </w:pPr>
            <w:r>
              <w:rPr>
                <w:sz w:val="8"/>
              </w:rPr>
              <w:t xml:space="preserve">     IX – </w:t>
            </w:r>
            <w:proofErr w:type="gramStart"/>
            <w:r>
              <w:rPr>
                <w:sz w:val="8"/>
              </w:rPr>
              <w:t>os</w:t>
            </w:r>
            <w:proofErr w:type="gramEnd"/>
            <w:r>
              <w:rPr>
                <w:sz w:val="8"/>
              </w:rPr>
              <w:t xml:space="preserve"> custos de capital e de operação entre revisões tarifárias poderão ser considerados nos processos de reajuste tarifário conforme regulação a ser definida pela ANEEL.</w:t>
            </w:r>
          </w:p>
        </w:tc>
        <w:tc>
          <w:tcPr>
            <w:tcW w:w="0" w:type="auto"/>
            <w:gridSpan w:val="2"/>
            <w:vMerge/>
            <w:tcBorders>
              <w:top w:val="nil"/>
              <w:left w:val="single" w:sz="3" w:space="0" w:color="000000"/>
              <w:bottom w:val="nil"/>
              <w:right w:val="nil"/>
            </w:tcBorders>
          </w:tcPr>
          <w:p w14:paraId="6EF8FCEE" w14:textId="77777777" w:rsidR="00541219" w:rsidRDefault="00541219">
            <w:pPr>
              <w:spacing w:after="160"/>
              <w:ind w:left="0" w:firstLine="0"/>
            </w:pPr>
          </w:p>
        </w:tc>
      </w:tr>
      <w:tr w:rsidR="00541219" w14:paraId="34161F12" w14:textId="77777777">
        <w:trPr>
          <w:trHeight w:val="564"/>
        </w:trPr>
        <w:tc>
          <w:tcPr>
            <w:tcW w:w="5344" w:type="dxa"/>
            <w:tcBorders>
              <w:top w:val="single" w:sz="3" w:space="0" w:color="000000"/>
              <w:left w:val="single" w:sz="3" w:space="0" w:color="000000"/>
              <w:bottom w:val="single" w:sz="3" w:space="0" w:color="000000"/>
              <w:right w:val="single" w:sz="3" w:space="0" w:color="000000"/>
            </w:tcBorders>
          </w:tcPr>
          <w:p w14:paraId="2A6682DB" w14:textId="77777777" w:rsidR="00541219" w:rsidRDefault="00000000">
            <w:pPr>
              <w:spacing w:after="0"/>
              <w:ind w:left="0" w:firstLine="0"/>
            </w:pPr>
            <w:r>
              <w:rPr>
                <w:sz w:val="8"/>
              </w:rPr>
              <w:t>62. A inclusão do inciso na Cláusula econômica, portanto, permite a possibilidade de reconhecimento no contrato de concessão de custos de capital e de operação entre revisões. Porém, por todo o exposto anteriormente, é necessário ter ciência de que o tema exige uma discussão ampla com a sociedade, pois se trata de possibilidade que traz complexidade operacional e analítica, possui alternativas, riscos e precisa ser implementada em conjunto com outras alterações regulatórias. Os custos e benefícios dessa possibilidade são fundamentais de serem levantados antes de eventual implementação.</w:t>
            </w:r>
          </w:p>
        </w:tc>
        <w:tc>
          <w:tcPr>
            <w:tcW w:w="0" w:type="auto"/>
            <w:gridSpan w:val="2"/>
            <w:vMerge/>
            <w:tcBorders>
              <w:top w:val="nil"/>
              <w:left w:val="single" w:sz="3" w:space="0" w:color="000000"/>
              <w:bottom w:val="nil"/>
              <w:right w:val="nil"/>
            </w:tcBorders>
          </w:tcPr>
          <w:p w14:paraId="39B6C7A7" w14:textId="77777777" w:rsidR="00541219" w:rsidRDefault="00541219">
            <w:pPr>
              <w:spacing w:after="160"/>
              <w:ind w:left="0" w:firstLine="0"/>
            </w:pPr>
          </w:p>
        </w:tc>
      </w:tr>
      <w:tr w:rsidR="00541219" w14:paraId="7D43A37A"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4FB2C15E" w14:textId="77777777" w:rsidR="00541219" w:rsidRDefault="00000000">
            <w:pPr>
              <w:spacing w:after="0"/>
              <w:ind w:left="0" w:firstLine="0"/>
            </w:pPr>
            <w:r>
              <w:rPr>
                <w:sz w:val="8"/>
              </w:rPr>
              <w:t>63. Concluindo, espera-se que a alteração na subcláusula econômica acima e a posterior regulamentação do tema possibilite modelos adequados às condições do setor, promovendo a modernização e flexibilidade necessária para enfrentar os desafios e incorporando inovações tecnológicas sem comprometer à modicidade tarifária e a qualidade do serviço prestado.</w:t>
            </w:r>
          </w:p>
        </w:tc>
        <w:tc>
          <w:tcPr>
            <w:tcW w:w="0" w:type="auto"/>
            <w:gridSpan w:val="2"/>
            <w:vMerge/>
            <w:tcBorders>
              <w:top w:val="nil"/>
              <w:left w:val="single" w:sz="3" w:space="0" w:color="000000"/>
              <w:bottom w:val="nil"/>
              <w:right w:val="nil"/>
            </w:tcBorders>
          </w:tcPr>
          <w:p w14:paraId="17B10619" w14:textId="77777777" w:rsidR="00541219" w:rsidRDefault="00541219">
            <w:pPr>
              <w:spacing w:after="160"/>
              <w:ind w:left="0" w:firstLine="0"/>
            </w:pPr>
          </w:p>
        </w:tc>
      </w:tr>
      <w:tr w:rsidR="00541219" w14:paraId="286F2E2C" w14:textId="77777777">
        <w:trPr>
          <w:trHeight w:val="187"/>
        </w:trPr>
        <w:tc>
          <w:tcPr>
            <w:tcW w:w="5344" w:type="dxa"/>
            <w:tcBorders>
              <w:top w:val="single" w:sz="3" w:space="0" w:color="000000"/>
              <w:left w:val="single" w:sz="3" w:space="0" w:color="000000"/>
              <w:bottom w:val="single" w:sz="3" w:space="0" w:color="000000"/>
              <w:right w:val="single" w:sz="3" w:space="0" w:color="000000"/>
            </w:tcBorders>
            <w:shd w:val="clear" w:color="auto" w:fill="FBDAD7"/>
          </w:tcPr>
          <w:p w14:paraId="26E37A94" w14:textId="77777777" w:rsidR="00541219" w:rsidRDefault="00000000">
            <w:pPr>
              <w:spacing w:after="0"/>
              <w:ind w:left="0" w:firstLine="0"/>
            </w:pPr>
            <w:r>
              <w:rPr>
                <w:sz w:val="8"/>
              </w:rPr>
              <w:t>III.1.2.3 – Aplicação de incentivos compatíveis com a capacidade de gestão em concessões com relevante presença de áreas com severas restrições ao combate às perdas de energia e à inadimplência</w:t>
            </w:r>
          </w:p>
        </w:tc>
        <w:tc>
          <w:tcPr>
            <w:tcW w:w="0" w:type="auto"/>
            <w:gridSpan w:val="2"/>
            <w:vMerge/>
            <w:tcBorders>
              <w:top w:val="nil"/>
              <w:left w:val="single" w:sz="3" w:space="0" w:color="000000"/>
              <w:bottom w:val="nil"/>
              <w:right w:val="nil"/>
            </w:tcBorders>
          </w:tcPr>
          <w:p w14:paraId="7FE251F5" w14:textId="77777777" w:rsidR="00541219" w:rsidRDefault="00541219">
            <w:pPr>
              <w:spacing w:after="160"/>
              <w:ind w:left="0" w:firstLine="0"/>
            </w:pPr>
          </w:p>
        </w:tc>
      </w:tr>
      <w:tr w:rsidR="00541219" w14:paraId="7EF7039A"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4C4B25BA" w14:textId="77777777" w:rsidR="00541219" w:rsidRDefault="00000000">
            <w:pPr>
              <w:spacing w:after="0"/>
              <w:ind w:left="0" w:firstLine="0"/>
            </w:pPr>
            <w:r>
              <w:rPr>
                <w:sz w:val="8"/>
              </w:rPr>
              <w:t>64. No tocante ao inciso acima do Decreto, a regulação atual já reconhece as dificuldades que algumas concessionárias têm enfrentado no combate as perdas não técnicas em áreas com severas restrições operativas. São localidades caracterizadas por altos índices de violência, onde as equipes da distribuidora sofrem impedimentos operativos para realização do seu trabalho (cobrança, suspensão, inspeção, regularização etc.).</w:t>
            </w:r>
          </w:p>
        </w:tc>
        <w:tc>
          <w:tcPr>
            <w:tcW w:w="0" w:type="auto"/>
            <w:gridSpan w:val="2"/>
            <w:vMerge/>
            <w:tcBorders>
              <w:top w:val="nil"/>
              <w:left w:val="single" w:sz="3" w:space="0" w:color="000000"/>
              <w:bottom w:val="nil"/>
              <w:right w:val="nil"/>
            </w:tcBorders>
          </w:tcPr>
          <w:p w14:paraId="79F31EF1" w14:textId="77777777" w:rsidR="00541219" w:rsidRDefault="00541219">
            <w:pPr>
              <w:spacing w:after="160"/>
              <w:ind w:left="0" w:firstLine="0"/>
            </w:pPr>
          </w:p>
        </w:tc>
      </w:tr>
      <w:tr w:rsidR="00541219" w14:paraId="57B2BFB9"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6552151E" w14:textId="77777777" w:rsidR="00541219" w:rsidRDefault="00000000">
            <w:pPr>
              <w:spacing w:after="0"/>
              <w:ind w:left="0" w:firstLine="0"/>
            </w:pPr>
            <w:r>
              <w:rPr>
                <w:sz w:val="8"/>
              </w:rPr>
              <w:t xml:space="preserve">65. O Submódulo do 2.6 do </w:t>
            </w:r>
            <w:proofErr w:type="spellStart"/>
            <w:r>
              <w:rPr>
                <w:sz w:val="8"/>
              </w:rPr>
              <w:t>Proret</w:t>
            </w:r>
            <w:proofErr w:type="spellEnd"/>
            <w:r>
              <w:rPr>
                <w:sz w:val="8"/>
              </w:rPr>
              <w:t xml:space="preserve"> – Perdas de Energia e Receitais Irrecuperáveis estabelece tratamento diferenciado na definição da trajetória de perdas não técnicas de concessionárias em que há evidências da presença de áreas com severas restrições operativas. Como a concessionária tem maior dificuldade em combater perdas não técnicas nessas áreas, a regulação permite, em contrapartida, um reconhecimento a maior do índice de perdas não técnicas da concessão, ou seja, busca compatibilizar os incentivos à capacidade de gestão da empresa.</w:t>
            </w:r>
          </w:p>
        </w:tc>
        <w:tc>
          <w:tcPr>
            <w:tcW w:w="0" w:type="auto"/>
            <w:gridSpan w:val="2"/>
            <w:vMerge/>
            <w:tcBorders>
              <w:top w:val="nil"/>
              <w:left w:val="single" w:sz="3" w:space="0" w:color="000000"/>
              <w:bottom w:val="single" w:sz="3" w:space="0" w:color="000000"/>
              <w:right w:val="nil"/>
            </w:tcBorders>
          </w:tcPr>
          <w:p w14:paraId="19010893" w14:textId="77777777" w:rsidR="00541219" w:rsidRDefault="00541219">
            <w:pPr>
              <w:spacing w:after="160"/>
              <w:ind w:left="0" w:firstLine="0"/>
            </w:pPr>
          </w:p>
        </w:tc>
      </w:tr>
      <w:tr w:rsidR="00541219" w14:paraId="753D7431" w14:textId="77777777">
        <w:trPr>
          <w:trHeight w:val="470"/>
        </w:trPr>
        <w:tc>
          <w:tcPr>
            <w:tcW w:w="5344" w:type="dxa"/>
            <w:tcBorders>
              <w:top w:val="single" w:sz="3" w:space="0" w:color="000000"/>
              <w:left w:val="single" w:sz="3" w:space="0" w:color="000000"/>
              <w:bottom w:val="single" w:sz="3" w:space="0" w:color="000000"/>
              <w:right w:val="single" w:sz="3" w:space="0" w:color="000000"/>
            </w:tcBorders>
          </w:tcPr>
          <w:p w14:paraId="7F72119E" w14:textId="77777777" w:rsidR="00541219" w:rsidRDefault="00000000">
            <w:pPr>
              <w:spacing w:after="0"/>
              <w:ind w:left="0" w:firstLine="0"/>
            </w:pPr>
            <w:r>
              <w:rPr>
                <w:sz w:val="8"/>
              </w:rPr>
              <w:t xml:space="preserve">66. Apesar de a regulação já estar aderente à diretriz do Decreto no tocante às perdas não técnicas, é natural que os incentivos sejam revistos ao longo do tempo por meio da revisão do próprio </w:t>
            </w:r>
            <w:proofErr w:type="spellStart"/>
            <w:r>
              <w:rPr>
                <w:sz w:val="8"/>
              </w:rPr>
              <w:t>Proret</w:t>
            </w:r>
            <w:proofErr w:type="spellEnd"/>
            <w:r>
              <w:rPr>
                <w:sz w:val="8"/>
              </w:rPr>
              <w:t>, bem como se avalie os incentivos da inadimplência sob a ótica das áreas com severas restrições operativas. De qualquer forma, é importante destacar que o Decreto reforça que deve haver incentivos compatíveis com a capacidade de gestão da concessionária nessas áreas, ou seja, os incentivos devem sempre estar presentes, não se caracterizando repasse integral das perdas dessas áreas para a tarifa do consumidor final.</w:t>
            </w:r>
          </w:p>
        </w:tc>
        <w:tc>
          <w:tcPr>
            <w:tcW w:w="1229" w:type="dxa"/>
            <w:tcBorders>
              <w:top w:val="single" w:sz="3" w:space="0" w:color="000000"/>
              <w:left w:val="single" w:sz="3" w:space="0" w:color="000000"/>
              <w:bottom w:val="single" w:sz="3" w:space="0" w:color="000000"/>
              <w:right w:val="single" w:sz="3" w:space="0" w:color="000000"/>
            </w:tcBorders>
            <w:vAlign w:val="center"/>
          </w:tcPr>
          <w:p w14:paraId="561ACC70"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5D21D035" w14:textId="77777777" w:rsidR="00541219" w:rsidRDefault="00000000" w:rsidP="00D31531">
            <w:pPr>
              <w:spacing w:after="0"/>
              <w:ind w:left="5" w:firstLine="0"/>
              <w:jc w:val="both"/>
            </w:pPr>
            <w:r>
              <w:t>Os incentivos à gestão do combate a Perdas Não Técnicas e Inadimplência também não podem recair exclusivamente sobre o mercado cativo de baixa tesão, deve ser dividido com todos os consumidores, sejam do Grupo A sejam do Grupo B.</w:t>
            </w:r>
          </w:p>
        </w:tc>
      </w:tr>
      <w:tr w:rsidR="00541219" w14:paraId="153296DF"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519F6E11" w14:textId="77777777" w:rsidR="00541219" w:rsidRDefault="00000000">
            <w:pPr>
              <w:spacing w:after="0"/>
              <w:ind w:left="0" w:firstLine="0"/>
            </w:pPr>
            <w:r>
              <w:rPr>
                <w:sz w:val="8"/>
              </w:rPr>
              <w:t>67. Além disso, o Decreto traz no § 3o do art. 4o a necessidade de cláusula estabelecendo que as concessionárias que atuem em área com severas restrições operativas mantenham plano para atuação no combate às perdas, cujo desempenho se reflita nos níveis regulatórios de perdas e receitas irrecuperáveis.</w:t>
            </w:r>
          </w:p>
        </w:tc>
        <w:tc>
          <w:tcPr>
            <w:tcW w:w="4920" w:type="dxa"/>
            <w:gridSpan w:val="2"/>
            <w:vMerge w:val="restart"/>
            <w:tcBorders>
              <w:top w:val="single" w:sz="3" w:space="0" w:color="000000"/>
              <w:left w:val="single" w:sz="3" w:space="0" w:color="000000"/>
              <w:bottom w:val="single" w:sz="3" w:space="0" w:color="000000"/>
              <w:right w:val="nil"/>
            </w:tcBorders>
          </w:tcPr>
          <w:p w14:paraId="6C4E5C2A" w14:textId="77777777" w:rsidR="00541219" w:rsidRDefault="00541219">
            <w:pPr>
              <w:spacing w:after="160"/>
              <w:ind w:left="0" w:firstLine="0"/>
            </w:pPr>
          </w:p>
        </w:tc>
      </w:tr>
      <w:tr w:rsidR="00541219" w14:paraId="0314B8B5"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50D293CC" w14:textId="77777777" w:rsidR="00541219" w:rsidRDefault="00000000">
            <w:pPr>
              <w:spacing w:after="0"/>
              <w:ind w:left="0" w:firstLine="0"/>
            </w:pPr>
            <w:r>
              <w:rPr>
                <w:sz w:val="8"/>
              </w:rPr>
              <w:t>68. Vale ressaltar que o regulamento de perdas e receitas irrecuperáveis atual é essencialmente constituído por metodologia comparativa, porém buscando respeitar as características de cada área de concessão quando da definição dos níveis regulatórios.</w:t>
            </w:r>
          </w:p>
        </w:tc>
        <w:tc>
          <w:tcPr>
            <w:tcW w:w="0" w:type="auto"/>
            <w:gridSpan w:val="2"/>
            <w:vMerge/>
            <w:tcBorders>
              <w:top w:val="nil"/>
              <w:left w:val="single" w:sz="3" w:space="0" w:color="000000"/>
              <w:bottom w:val="nil"/>
              <w:right w:val="nil"/>
            </w:tcBorders>
          </w:tcPr>
          <w:p w14:paraId="397CC816" w14:textId="77777777" w:rsidR="00541219" w:rsidRDefault="00541219">
            <w:pPr>
              <w:spacing w:after="160"/>
              <w:ind w:left="0" w:firstLine="0"/>
            </w:pPr>
          </w:p>
        </w:tc>
      </w:tr>
      <w:tr w:rsidR="00541219" w14:paraId="26E26696"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4CFE9A85" w14:textId="77777777" w:rsidR="00541219" w:rsidRDefault="00000000">
            <w:pPr>
              <w:spacing w:after="0"/>
              <w:ind w:left="0" w:firstLine="0"/>
            </w:pPr>
            <w:r>
              <w:rPr>
                <w:sz w:val="8"/>
              </w:rPr>
              <w:t>69. Uma das principais vantagens da regulação por comparação é evitar os problemas de assimetria de informação entre o regulador e o ente regulado. Regular apenas observando o desempenho histórico do agente ou verificando seu desempenho frente a um plano previamente estabelecido desestimula a busca pelas melhoras práticas e estimula o agente a apresentar planos conservadores e de fácil cumprimento.</w:t>
            </w:r>
          </w:p>
        </w:tc>
        <w:tc>
          <w:tcPr>
            <w:tcW w:w="0" w:type="auto"/>
            <w:gridSpan w:val="2"/>
            <w:vMerge/>
            <w:tcBorders>
              <w:top w:val="nil"/>
              <w:left w:val="single" w:sz="3" w:space="0" w:color="000000"/>
              <w:bottom w:val="nil"/>
              <w:right w:val="nil"/>
            </w:tcBorders>
          </w:tcPr>
          <w:p w14:paraId="5E7AC4F2" w14:textId="77777777" w:rsidR="00541219" w:rsidRDefault="00541219">
            <w:pPr>
              <w:spacing w:after="160"/>
              <w:ind w:left="0" w:firstLine="0"/>
            </w:pPr>
          </w:p>
        </w:tc>
      </w:tr>
      <w:tr w:rsidR="00541219" w14:paraId="6B69B4BD"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568646D5" w14:textId="77777777" w:rsidR="00541219" w:rsidRDefault="00000000">
            <w:pPr>
              <w:spacing w:after="0"/>
              <w:ind w:left="0" w:right="77" w:firstLine="0"/>
              <w:jc w:val="both"/>
            </w:pPr>
            <w:r>
              <w:rPr>
                <w:sz w:val="8"/>
              </w:rPr>
              <w:t>70. Os planos de ação no combate às perdas podem ser úteis se utilizados subsidiariamente na definição dos níveis regulatórios: ao caracterizar a concessão, ilustrar as ações, apresentar os resultados obtidos, bem como os desafios enfrentados pela empresa. Entretanto, devem ser vistos com cautela como mecanismo de definição da trajetória em si.</w:t>
            </w:r>
          </w:p>
        </w:tc>
        <w:tc>
          <w:tcPr>
            <w:tcW w:w="0" w:type="auto"/>
            <w:gridSpan w:val="2"/>
            <w:vMerge/>
            <w:tcBorders>
              <w:top w:val="nil"/>
              <w:left w:val="single" w:sz="3" w:space="0" w:color="000000"/>
              <w:bottom w:val="nil"/>
              <w:right w:val="nil"/>
            </w:tcBorders>
          </w:tcPr>
          <w:p w14:paraId="78583803" w14:textId="77777777" w:rsidR="00541219" w:rsidRDefault="00541219">
            <w:pPr>
              <w:spacing w:after="160"/>
              <w:ind w:left="0" w:firstLine="0"/>
            </w:pPr>
          </w:p>
        </w:tc>
      </w:tr>
      <w:tr w:rsidR="00541219" w14:paraId="24B732B0"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514794FF" w14:textId="77777777" w:rsidR="00541219" w:rsidRDefault="00000000">
            <w:pPr>
              <w:spacing w:after="0"/>
              <w:ind w:left="0" w:firstLine="0"/>
              <w:jc w:val="both"/>
            </w:pPr>
            <w:r>
              <w:rPr>
                <w:sz w:val="8"/>
              </w:rPr>
              <w:lastRenderedPageBreak/>
              <w:t>71. Interessa ressaltar também que a revisão dos Submódulos 2.6 e 2.6 A está prevista para 2025, onde serão tratadas as novas disposições trazidas pelo Decreto 12.068/24 e incorporadas no contrato de concessão.</w:t>
            </w:r>
          </w:p>
        </w:tc>
        <w:tc>
          <w:tcPr>
            <w:tcW w:w="0" w:type="auto"/>
            <w:gridSpan w:val="2"/>
            <w:vMerge/>
            <w:tcBorders>
              <w:top w:val="nil"/>
              <w:left w:val="single" w:sz="3" w:space="0" w:color="000000"/>
              <w:bottom w:val="nil"/>
              <w:right w:val="nil"/>
            </w:tcBorders>
          </w:tcPr>
          <w:p w14:paraId="422BC87D" w14:textId="77777777" w:rsidR="00541219" w:rsidRDefault="00541219">
            <w:pPr>
              <w:spacing w:after="160"/>
              <w:ind w:left="0" w:firstLine="0"/>
            </w:pPr>
          </w:p>
        </w:tc>
      </w:tr>
      <w:tr w:rsidR="00541219" w14:paraId="60534142"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23204429" w14:textId="77777777" w:rsidR="00541219" w:rsidRDefault="00000000">
            <w:pPr>
              <w:spacing w:after="0"/>
              <w:ind w:left="0" w:firstLine="0"/>
            </w:pPr>
            <w:r>
              <w:rPr>
                <w:sz w:val="8"/>
              </w:rPr>
              <w:t>72. De todo modo, em cumprimento ao disposto no inciso XV e § 3o do art. 4o do Decreto no 12.068/2024, recomenda-se alterações na Subcláusula Sétima da Cláusula Sexta nos seguintes termos:</w:t>
            </w:r>
          </w:p>
        </w:tc>
        <w:tc>
          <w:tcPr>
            <w:tcW w:w="0" w:type="auto"/>
            <w:gridSpan w:val="2"/>
            <w:vMerge/>
            <w:tcBorders>
              <w:top w:val="nil"/>
              <w:left w:val="single" w:sz="3" w:space="0" w:color="000000"/>
              <w:bottom w:val="nil"/>
              <w:right w:val="nil"/>
            </w:tcBorders>
          </w:tcPr>
          <w:p w14:paraId="27E3918B" w14:textId="77777777" w:rsidR="00541219" w:rsidRDefault="00541219">
            <w:pPr>
              <w:spacing w:after="160"/>
              <w:ind w:left="0" w:firstLine="0"/>
            </w:pPr>
          </w:p>
        </w:tc>
      </w:tr>
      <w:tr w:rsidR="00541219" w14:paraId="2B4E2DCB"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74FB70EB" w14:textId="77777777" w:rsidR="00541219" w:rsidRDefault="00000000">
            <w:pPr>
              <w:spacing w:after="0"/>
              <w:ind w:left="497" w:firstLine="0"/>
            </w:pPr>
            <w:r>
              <w:rPr>
                <w:sz w:val="8"/>
              </w:rPr>
              <w:t xml:space="preserve">     Subcláusula Sétima – A forma de cálculo dos níveis regulatórios ou os níveis regulatórios das perdas de energia elétrica do sistema de distribuição e das receitas irrecuperáveis serão estabelecidos nas revisões tarifárias ordinárias a partir de análise de eficiência, que deverá levar em consideração, quando cabível:</w:t>
            </w:r>
          </w:p>
        </w:tc>
        <w:tc>
          <w:tcPr>
            <w:tcW w:w="0" w:type="auto"/>
            <w:gridSpan w:val="2"/>
            <w:vMerge/>
            <w:tcBorders>
              <w:top w:val="nil"/>
              <w:left w:val="single" w:sz="3" w:space="0" w:color="000000"/>
              <w:bottom w:val="nil"/>
              <w:right w:val="nil"/>
            </w:tcBorders>
          </w:tcPr>
          <w:p w14:paraId="6D27CF72" w14:textId="77777777" w:rsidR="00541219" w:rsidRDefault="00541219">
            <w:pPr>
              <w:spacing w:after="160"/>
              <w:ind w:left="0" w:firstLine="0"/>
            </w:pPr>
          </w:p>
        </w:tc>
      </w:tr>
      <w:tr w:rsidR="00541219" w14:paraId="6B3857FC"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713F9571" w14:textId="77777777" w:rsidR="00541219" w:rsidRDefault="00000000">
            <w:pPr>
              <w:spacing w:after="0"/>
              <w:ind w:left="497" w:firstLine="0"/>
            </w:pPr>
            <w:r>
              <w:rPr>
                <w:sz w:val="8"/>
              </w:rPr>
              <w:t xml:space="preserve">          I – O desempenho das concessionárias de distribuição de energia elétrica comparáveis;</w:t>
            </w:r>
          </w:p>
        </w:tc>
        <w:tc>
          <w:tcPr>
            <w:tcW w:w="0" w:type="auto"/>
            <w:gridSpan w:val="2"/>
            <w:vMerge/>
            <w:tcBorders>
              <w:top w:val="nil"/>
              <w:left w:val="single" w:sz="3" w:space="0" w:color="000000"/>
              <w:bottom w:val="nil"/>
              <w:right w:val="nil"/>
            </w:tcBorders>
          </w:tcPr>
          <w:p w14:paraId="2F5501F1" w14:textId="77777777" w:rsidR="00541219" w:rsidRDefault="00541219">
            <w:pPr>
              <w:spacing w:after="160"/>
              <w:ind w:left="0" w:firstLine="0"/>
            </w:pPr>
          </w:p>
        </w:tc>
      </w:tr>
      <w:tr w:rsidR="00541219" w14:paraId="4CF5CB1A"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6B944BCA" w14:textId="77777777" w:rsidR="00541219" w:rsidRDefault="00000000">
            <w:pPr>
              <w:spacing w:after="0"/>
              <w:ind w:left="497" w:firstLine="0"/>
              <w:jc w:val="both"/>
            </w:pPr>
            <w:r>
              <w:rPr>
                <w:sz w:val="8"/>
              </w:rPr>
              <w:t xml:space="preserve">          II – As características da área de concessão da DISTRIBUIDORA, inclusive quanto à presença de áreas com severas restrições operativas; e</w:t>
            </w:r>
          </w:p>
        </w:tc>
        <w:tc>
          <w:tcPr>
            <w:tcW w:w="0" w:type="auto"/>
            <w:gridSpan w:val="2"/>
            <w:vMerge/>
            <w:tcBorders>
              <w:top w:val="nil"/>
              <w:left w:val="single" w:sz="3" w:space="0" w:color="000000"/>
              <w:bottom w:val="nil"/>
              <w:right w:val="nil"/>
            </w:tcBorders>
          </w:tcPr>
          <w:p w14:paraId="332C7E4B" w14:textId="77777777" w:rsidR="00541219" w:rsidRDefault="00541219">
            <w:pPr>
              <w:spacing w:after="160"/>
              <w:ind w:left="0" w:firstLine="0"/>
            </w:pPr>
          </w:p>
        </w:tc>
      </w:tr>
      <w:tr w:rsidR="00541219" w14:paraId="154A8C5E"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0C7D85B5" w14:textId="77777777" w:rsidR="00541219" w:rsidRDefault="00000000">
            <w:pPr>
              <w:spacing w:after="0"/>
              <w:ind w:left="497" w:firstLine="0"/>
            </w:pPr>
            <w:r>
              <w:rPr>
                <w:sz w:val="8"/>
              </w:rPr>
              <w:t xml:space="preserve">          III - o desempenho da concessionária na implantação do plano que trata o inciso XXVI da Cláusula Terceira.</w:t>
            </w:r>
          </w:p>
        </w:tc>
        <w:tc>
          <w:tcPr>
            <w:tcW w:w="0" w:type="auto"/>
            <w:gridSpan w:val="2"/>
            <w:vMerge/>
            <w:tcBorders>
              <w:top w:val="nil"/>
              <w:left w:val="single" w:sz="3" w:space="0" w:color="000000"/>
              <w:bottom w:val="nil"/>
              <w:right w:val="nil"/>
            </w:tcBorders>
          </w:tcPr>
          <w:p w14:paraId="467F1B63" w14:textId="77777777" w:rsidR="00541219" w:rsidRDefault="00541219">
            <w:pPr>
              <w:spacing w:after="160"/>
              <w:ind w:left="0" w:firstLine="0"/>
            </w:pPr>
          </w:p>
        </w:tc>
      </w:tr>
      <w:tr w:rsidR="00541219" w14:paraId="74715A52"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67F7BF19" w14:textId="77777777" w:rsidR="00541219" w:rsidRDefault="00000000">
            <w:pPr>
              <w:spacing w:after="0"/>
              <w:ind w:left="497" w:firstLine="0"/>
            </w:pPr>
            <w:r>
              <w:rPr>
                <w:sz w:val="8"/>
              </w:rPr>
              <w:t xml:space="preserve">     Parágrafo Primeiro - Os níveis regulatórios de perdas de energia elétrica na Rede Básica serão definidos a cada reposicionamento tarifário a partir dos níveis observados nos últimos doze meses com informações disponíveis.</w:t>
            </w:r>
          </w:p>
        </w:tc>
        <w:tc>
          <w:tcPr>
            <w:tcW w:w="0" w:type="auto"/>
            <w:gridSpan w:val="2"/>
            <w:vMerge/>
            <w:tcBorders>
              <w:top w:val="nil"/>
              <w:left w:val="single" w:sz="3" w:space="0" w:color="000000"/>
              <w:bottom w:val="nil"/>
              <w:right w:val="nil"/>
            </w:tcBorders>
          </w:tcPr>
          <w:p w14:paraId="266B10D4" w14:textId="77777777" w:rsidR="00541219" w:rsidRDefault="00541219">
            <w:pPr>
              <w:spacing w:after="160"/>
              <w:ind w:left="0" w:firstLine="0"/>
            </w:pPr>
          </w:p>
        </w:tc>
      </w:tr>
      <w:tr w:rsidR="00541219" w14:paraId="55D2A652"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3BA2FCAB" w14:textId="77777777" w:rsidR="00541219" w:rsidRDefault="00000000">
            <w:pPr>
              <w:spacing w:after="0"/>
              <w:ind w:left="497" w:firstLine="0"/>
            </w:pPr>
            <w:r>
              <w:rPr>
                <w:sz w:val="8"/>
              </w:rPr>
              <w:t xml:space="preserve">     Parágrafo Segundo - A regulação da ANEEL definirá o tratamento regulatório das perdas de energia elétrica das Demais Instalações de Transmissão (DIT).</w:t>
            </w:r>
          </w:p>
        </w:tc>
        <w:tc>
          <w:tcPr>
            <w:tcW w:w="0" w:type="auto"/>
            <w:gridSpan w:val="2"/>
            <w:vMerge/>
            <w:tcBorders>
              <w:top w:val="nil"/>
              <w:left w:val="single" w:sz="3" w:space="0" w:color="000000"/>
              <w:bottom w:val="nil"/>
              <w:right w:val="nil"/>
            </w:tcBorders>
          </w:tcPr>
          <w:p w14:paraId="76C3EFC7" w14:textId="77777777" w:rsidR="00541219" w:rsidRDefault="00541219">
            <w:pPr>
              <w:spacing w:after="160"/>
              <w:ind w:left="0" w:firstLine="0"/>
            </w:pPr>
          </w:p>
        </w:tc>
      </w:tr>
      <w:tr w:rsidR="00541219" w14:paraId="7116F517" w14:textId="77777777">
        <w:trPr>
          <w:trHeight w:val="234"/>
        </w:trPr>
        <w:tc>
          <w:tcPr>
            <w:tcW w:w="5344" w:type="dxa"/>
            <w:tcBorders>
              <w:top w:val="single" w:sz="3" w:space="0" w:color="000000"/>
              <w:left w:val="single" w:sz="3" w:space="0" w:color="000000"/>
              <w:bottom w:val="double" w:sz="3" w:space="0" w:color="000000"/>
              <w:right w:val="single" w:sz="3" w:space="0" w:color="000000"/>
            </w:tcBorders>
          </w:tcPr>
          <w:p w14:paraId="0D43698A" w14:textId="77777777" w:rsidR="00541219" w:rsidRDefault="00000000">
            <w:pPr>
              <w:spacing w:after="0"/>
              <w:ind w:left="497" w:firstLine="0"/>
            </w:pPr>
            <w:r>
              <w:rPr>
                <w:sz w:val="8"/>
              </w:rPr>
              <w:t xml:space="preserve">     Parágrafo Terceiro - A regulação observará a aplicação de incentivos compatíveis com a capacidade de gestão em concessões com relevante presença de áreas com severas restrições ao combate às perdas de energia e à inadimplência.</w:t>
            </w:r>
          </w:p>
        </w:tc>
        <w:tc>
          <w:tcPr>
            <w:tcW w:w="0" w:type="auto"/>
            <w:gridSpan w:val="2"/>
            <w:vMerge/>
            <w:tcBorders>
              <w:top w:val="nil"/>
              <w:left w:val="single" w:sz="3" w:space="0" w:color="000000"/>
              <w:bottom w:val="nil"/>
              <w:right w:val="nil"/>
            </w:tcBorders>
          </w:tcPr>
          <w:p w14:paraId="6E348D20" w14:textId="77777777" w:rsidR="00541219" w:rsidRDefault="00541219">
            <w:pPr>
              <w:spacing w:after="160"/>
              <w:ind w:left="0" w:firstLine="0"/>
            </w:pPr>
          </w:p>
        </w:tc>
      </w:tr>
      <w:tr w:rsidR="00541219" w14:paraId="1D329A62" w14:textId="77777777">
        <w:trPr>
          <w:trHeight w:val="424"/>
        </w:trPr>
        <w:tc>
          <w:tcPr>
            <w:tcW w:w="5344" w:type="dxa"/>
            <w:tcBorders>
              <w:top w:val="double" w:sz="3" w:space="0" w:color="000000"/>
              <w:left w:val="single" w:sz="3" w:space="0" w:color="000000"/>
              <w:bottom w:val="single" w:sz="3" w:space="0" w:color="000000"/>
              <w:right w:val="single" w:sz="3" w:space="0" w:color="000000"/>
            </w:tcBorders>
          </w:tcPr>
          <w:p w14:paraId="18C565EC" w14:textId="77777777" w:rsidR="00541219" w:rsidRDefault="00000000">
            <w:pPr>
              <w:spacing w:after="0"/>
              <w:ind w:left="0" w:firstLine="0"/>
            </w:pPr>
            <w:r>
              <w:rPr>
                <w:sz w:val="8"/>
              </w:rPr>
              <w:t>III.1.2.4 – Não exclusividade na prestação de serviços</w:t>
            </w:r>
          </w:p>
          <w:p w14:paraId="67E3DE3B" w14:textId="77777777" w:rsidR="00541219" w:rsidRDefault="00000000">
            <w:pPr>
              <w:spacing w:after="0"/>
              <w:ind w:left="0" w:firstLine="0"/>
            </w:pPr>
            <w:r>
              <w:rPr>
                <w:sz w:val="8"/>
              </w:rPr>
              <w:t>73. Para adequar o contrato de concessão às mudanças e avanços tecnológicos no setor de energia elétrica, bem como considerando as disposições do art. 4o, XIV, “b” e “c” do Decreto no 12.068/2024, sugere-se a inclusão de novas subcláusulas nas Cláusulas Primeira e Terceira do contrato. A proposta visa a garantir a não exclusividade da distribuidora na prestação de serviços que possam ser ofertados de forma concorrencial e assegurar acesso não discriminatório a informações da rede.</w:t>
            </w:r>
          </w:p>
        </w:tc>
        <w:tc>
          <w:tcPr>
            <w:tcW w:w="0" w:type="auto"/>
            <w:gridSpan w:val="2"/>
            <w:vMerge/>
            <w:tcBorders>
              <w:top w:val="nil"/>
              <w:left w:val="single" w:sz="3" w:space="0" w:color="000000"/>
              <w:bottom w:val="nil"/>
              <w:right w:val="nil"/>
            </w:tcBorders>
          </w:tcPr>
          <w:p w14:paraId="2BD172EC" w14:textId="77777777" w:rsidR="00541219" w:rsidRDefault="00541219">
            <w:pPr>
              <w:spacing w:after="160"/>
              <w:ind w:left="0" w:firstLine="0"/>
            </w:pPr>
          </w:p>
        </w:tc>
      </w:tr>
      <w:tr w:rsidR="00541219" w14:paraId="49F02801"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3959627D" w14:textId="77777777" w:rsidR="00541219" w:rsidRDefault="00000000">
            <w:pPr>
              <w:spacing w:after="0"/>
              <w:ind w:left="0" w:right="48" w:firstLine="0"/>
              <w:jc w:val="both"/>
            </w:pPr>
            <w:r>
              <w:rPr>
                <w:sz w:val="8"/>
              </w:rPr>
              <w:t>74. Atualmente, o contrato vigente não contempla disposições sobre serviços ofertados em regime de competição, necessários devido aos avanços tecnológicos. Portanto, recomenda-se a adição de uma subcláusula na Cláusula Primeira, estipulando que a concessão do serviço público de distribuição de energia elétrica não confere exclusividade à distribuidora na prestação de serviços que possam ser economicamente ofertados por outros agentes.</w:t>
            </w:r>
          </w:p>
        </w:tc>
        <w:tc>
          <w:tcPr>
            <w:tcW w:w="0" w:type="auto"/>
            <w:gridSpan w:val="2"/>
            <w:vMerge/>
            <w:tcBorders>
              <w:top w:val="nil"/>
              <w:left w:val="single" w:sz="3" w:space="0" w:color="000000"/>
              <w:bottom w:val="nil"/>
              <w:right w:val="nil"/>
            </w:tcBorders>
          </w:tcPr>
          <w:p w14:paraId="35243ACA" w14:textId="77777777" w:rsidR="00541219" w:rsidRDefault="00541219">
            <w:pPr>
              <w:spacing w:after="160"/>
              <w:ind w:left="0" w:firstLine="0"/>
            </w:pPr>
          </w:p>
        </w:tc>
      </w:tr>
      <w:tr w:rsidR="00541219" w14:paraId="16A330C7"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1D3B994A" w14:textId="77777777" w:rsidR="00541219" w:rsidRDefault="00000000">
            <w:pPr>
              <w:spacing w:after="0"/>
              <w:ind w:left="0" w:firstLine="0"/>
            </w:pPr>
            <w:r>
              <w:rPr>
                <w:sz w:val="8"/>
              </w:rPr>
              <w:t>75. Serviços caracterizados como de monopólio natural permanecerão sob exploração da concessionária; mas serviços que não se enquadrem nessa categoria, ou que passem a não se enquadrar com o avanço tecnológico, poderão ser oferecidos por concorrentes, conforme regulação da ANEEL. Esta medida permitirá que outras empresas disputem a exploração do serviço, garantindo que a concessionária não tenha direitos adquiridos sobre tais serviços, exceto quando necessário para preservar o equilíbrio econômico da concessão.</w:t>
            </w:r>
          </w:p>
        </w:tc>
        <w:tc>
          <w:tcPr>
            <w:tcW w:w="0" w:type="auto"/>
            <w:gridSpan w:val="2"/>
            <w:vMerge/>
            <w:tcBorders>
              <w:top w:val="nil"/>
              <w:left w:val="single" w:sz="3" w:space="0" w:color="000000"/>
              <w:bottom w:val="nil"/>
              <w:right w:val="nil"/>
            </w:tcBorders>
          </w:tcPr>
          <w:p w14:paraId="12746714" w14:textId="77777777" w:rsidR="00541219" w:rsidRDefault="00541219">
            <w:pPr>
              <w:spacing w:after="160"/>
              <w:ind w:left="0" w:firstLine="0"/>
            </w:pPr>
          </w:p>
        </w:tc>
      </w:tr>
      <w:tr w:rsidR="00541219" w14:paraId="67EAD3D0"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0D92F2DA" w14:textId="77777777" w:rsidR="00541219" w:rsidRDefault="00000000">
            <w:pPr>
              <w:spacing w:after="0"/>
              <w:ind w:left="0" w:firstLine="0"/>
            </w:pPr>
            <w:r>
              <w:rPr>
                <w:sz w:val="8"/>
              </w:rPr>
              <w:t>76. Essas mudanças no contrato de concessão tornarão o setor mais adaptado e flexível para lidar com transformações como a descentralização dos recursos energéticos distribuídos, o crescimento da geração distribuída e as mudanças relacionadas à abertura de mercado e à transição energética.</w:t>
            </w:r>
          </w:p>
        </w:tc>
        <w:tc>
          <w:tcPr>
            <w:tcW w:w="0" w:type="auto"/>
            <w:gridSpan w:val="2"/>
            <w:vMerge/>
            <w:tcBorders>
              <w:top w:val="nil"/>
              <w:left w:val="single" w:sz="3" w:space="0" w:color="000000"/>
              <w:bottom w:val="nil"/>
              <w:right w:val="nil"/>
            </w:tcBorders>
          </w:tcPr>
          <w:p w14:paraId="597B3D48" w14:textId="77777777" w:rsidR="00541219" w:rsidRDefault="00541219">
            <w:pPr>
              <w:spacing w:after="160"/>
              <w:ind w:left="0" w:firstLine="0"/>
            </w:pPr>
          </w:p>
        </w:tc>
      </w:tr>
      <w:tr w:rsidR="00541219" w14:paraId="6437F708"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36CCB88A" w14:textId="77777777" w:rsidR="00541219" w:rsidRDefault="00000000">
            <w:pPr>
              <w:spacing w:after="0"/>
              <w:ind w:left="0" w:firstLine="0"/>
            </w:pPr>
            <w:r>
              <w:rPr>
                <w:sz w:val="8"/>
              </w:rPr>
              <w:t>77. Para formalizar as alterações, sugere-se a inclusão das seguintes disposições:</w:t>
            </w:r>
          </w:p>
        </w:tc>
        <w:tc>
          <w:tcPr>
            <w:tcW w:w="0" w:type="auto"/>
            <w:gridSpan w:val="2"/>
            <w:vMerge/>
            <w:tcBorders>
              <w:top w:val="nil"/>
              <w:left w:val="single" w:sz="3" w:space="0" w:color="000000"/>
              <w:bottom w:val="nil"/>
              <w:right w:val="nil"/>
            </w:tcBorders>
          </w:tcPr>
          <w:p w14:paraId="66D06823" w14:textId="77777777" w:rsidR="00541219" w:rsidRDefault="00541219">
            <w:pPr>
              <w:spacing w:after="160"/>
              <w:ind w:left="0" w:firstLine="0"/>
            </w:pPr>
          </w:p>
        </w:tc>
      </w:tr>
      <w:tr w:rsidR="00541219" w14:paraId="5A882753" w14:textId="77777777">
        <w:trPr>
          <w:trHeight w:val="470"/>
        </w:trPr>
        <w:tc>
          <w:tcPr>
            <w:tcW w:w="5344" w:type="dxa"/>
            <w:tcBorders>
              <w:top w:val="single" w:sz="3" w:space="0" w:color="000000"/>
              <w:left w:val="single" w:sz="3" w:space="0" w:color="000000"/>
              <w:bottom w:val="single" w:sz="3" w:space="0" w:color="000000"/>
              <w:right w:val="single" w:sz="3" w:space="0" w:color="000000"/>
            </w:tcBorders>
          </w:tcPr>
          <w:p w14:paraId="520CD276" w14:textId="77777777" w:rsidR="00541219" w:rsidRDefault="00000000">
            <w:pPr>
              <w:spacing w:after="0"/>
              <w:ind w:left="497" w:firstLine="0"/>
            </w:pPr>
            <w:r>
              <w:rPr>
                <w:sz w:val="8"/>
              </w:rPr>
              <w:t xml:space="preserve">          Cláusula Primeira – Objeto          (...)</w:t>
            </w:r>
          </w:p>
          <w:p w14:paraId="50F2C990" w14:textId="77777777" w:rsidR="00541219" w:rsidRDefault="00000000">
            <w:pPr>
              <w:spacing w:after="0"/>
              <w:ind w:left="497" w:firstLine="0"/>
            </w:pPr>
            <w:r>
              <w:rPr>
                <w:sz w:val="8"/>
              </w:rPr>
              <w:t xml:space="preserve">          Subcláusula Oitava: A regulação da ANEEL poderá facultar a terceiros a execução de serviços inicialmente prestados pela concessionária e passíveis de serem exercidos em ambiente competitivo, com vistas a beneficiar o usuário com a ampliação da concorrência no setor elétrico, observada a economicidade na prestação do serviço e assegurada a preservação do equilíbrio </w:t>
            </w:r>
            <w:proofErr w:type="gramStart"/>
            <w:r>
              <w:rPr>
                <w:sz w:val="8"/>
              </w:rPr>
              <w:t>econômico- financeiro</w:t>
            </w:r>
            <w:proofErr w:type="gramEnd"/>
            <w:r>
              <w:rPr>
                <w:sz w:val="8"/>
              </w:rPr>
              <w:t xml:space="preserve"> da concessão.</w:t>
            </w:r>
          </w:p>
        </w:tc>
        <w:tc>
          <w:tcPr>
            <w:tcW w:w="0" w:type="auto"/>
            <w:gridSpan w:val="2"/>
            <w:vMerge/>
            <w:tcBorders>
              <w:top w:val="nil"/>
              <w:left w:val="single" w:sz="3" w:space="0" w:color="000000"/>
              <w:bottom w:val="nil"/>
              <w:right w:val="nil"/>
            </w:tcBorders>
          </w:tcPr>
          <w:p w14:paraId="0D2B8B35" w14:textId="77777777" w:rsidR="00541219" w:rsidRDefault="00541219">
            <w:pPr>
              <w:spacing w:after="160"/>
              <w:ind w:left="0" w:firstLine="0"/>
            </w:pPr>
          </w:p>
        </w:tc>
      </w:tr>
      <w:tr w:rsidR="00541219" w14:paraId="6AE21913"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34598866" w14:textId="77777777" w:rsidR="00541219" w:rsidRDefault="00000000">
            <w:pPr>
              <w:spacing w:after="0"/>
              <w:ind w:left="497" w:firstLine="0"/>
            </w:pPr>
            <w:r>
              <w:rPr>
                <w:sz w:val="8"/>
              </w:rPr>
              <w:t xml:space="preserve">          Cláusula Terceira – Obrigações e Encargos da Distribuidora          (...)</w:t>
            </w:r>
          </w:p>
          <w:p w14:paraId="69D28473" w14:textId="77777777" w:rsidR="00541219" w:rsidRDefault="00000000">
            <w:pPr>
              <w:spacing w:after="0"/>
              <w:ind w:left="497" w:firstLine="0"/>
            </w:pPr>
            <w:r>
              <w:rPr>
                <w:sz w:val="8"/>
              </w:rPr>
              <w:t xml:space="preserve">          XI. Compartilhar infraestrutura com outros prestadores de serviço público, observando as condições de segurança, o tratamento isonômico e buscando a redução de custos, nos termos e condições previstas na legislação e na regulação da ANEEL.          (...)</w:t>
            </w:r>
          </w:p>
        </w:tc>
        <w:tc>
          <w:tcPr>
            <w:tcW w:w="0" w:type="auto"/>
            <w:gridSpan w:val="2"/>
            <w:vMerge/>
            <w:tcBorders>
              <w:top w:val="nil"/>
              <w:left w:val="single" w:sz="3" w:space="0" w:color="000000"/>
              <w:bottom w:val="nil"/>
              <w:right w:val="nil"/>
            </w:tcBorders>
          </w:tcPr>
          <w:p w14:paraId="4C300FFC" w14:textId="77777777" w:rsidR="00541219" w:rsidRDefault="00541219">
            <w:pPr>
              <w:spacing w:after="160"/>
              <w:ind w:left="0" w:firstLine="0"/>
            </w:pPr>
          </w:p>
        </w:tc>
      </w:tr>
      <w:tr w:rsidR="00541219" w14:paraId="2D97FCDF"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7EE8E8A2" w14:textId="77777777" w:rsidR="00541219" w:rsidRDefault="00000000">
            <w:pPr>
              <w:spacing w:after="0"/>
              <w:ind w:left="0" w:right="187" w:firstLine="0"/>
            </w:pPr>
            <w:r>
              <w:rPr>
                <w:sz w:val="8"/>
              </w:rPr>
              <w:t>78. Com essas inclusões, o contrato de concessão será atualizado para refletir a necessidade de um ambiente competitivo e transparente, beneficiando o desenvolvimento de novos serviços e a adaptação às mudanças no setor de energia elétrica.</w:t>
            </w:r>
          </w:p>
        </w:tc>
        <w:tc>
          <w:tcPr>
            <w:tcW w:w="0" w:type="auto"/>
            <w:gridSpan w:val="2"/>
            <w:vMerge/>
            <w:tcBorders>
              <w:top w:val="nil"/>
              <w:left w:val="single" w:sz="3" w:space="0" w:color="000000"/>
              <w:bottom w:val="nil"/>
              <w:right w:val="nil"/>
            </w:tcBorders>
          </w:tcPr>
          <w:p w14:paraId="48317D12" w14:textId="77777777" w:rsidR="00541219" w:rsidRDefault="00541219">
            <w:pPr>
              <w:spacing w:after="160"/>
              <w:ind w:left="0" w:firstLine="0"/>
            </w:pPr>
          </w:p>
        </w:tc>
      </w:tr>
      <w:tr w:rsidR="00541219" w14:paraId="069B22C6" w14:textId="77777777">
        <w:trPr>
          <w:trHeight w:val="187"/>
        </w:trPr>
        <w:tc>
          <w:tcPr>
            <w:tcW w:w="5344" w:type="dxa"/>
            <w:tcBorders>
              <w:top w:val="single" w:sz="3" w:space="0" w:color="000000"/>
              <w:left w:val="single" w:sz="3" w:space="0" w:color="000000"/>
              <w:bottom w:val="single" w:sz="3" w:space="0" w:color="000000"/>
              <w:right w:val="single" w:sz="3" w:space="0" w:color="000000"/>
            </w:tcBorders>
            <w:shd w:val="clear" w:color="auto" w:fill="FBDAD7"/>
          </w:tcPr>
          <w:p w14:paraId="3ACCCEFA" w14:textId="77777777" w:rsidR="00541219" w:rsidRDefault="00000000">
            <w:pPr>
              <w:spacing w:after="0"/>
              <w:ind w:left="0" w:firstLine="0"/>
            </w:pPr>
            <w:r>
              <w:rPr>
                <w:sz w:val="8"/>
              </w:rPr>
              <w:t>III.1.2.5 – Separação dos serviços passíveis de serem prestados em ambiente competitivo com ampliação da concorrência e adequação da contabilidade para fins regulatórios</w:t>
            </w:r>
          </w:p>
        </w:tc>
        <w:tc>
          <w:tcPr>
            <w:tcW w:w="0" w:type="auto"/>
            <w:gridSpan w:val="2"/>
            <w:vMerge/>
            <w:tcBorders>
              <w:top w:val="nil"/>
              <w:left w:val="single" w:sz="3" w:space="0" w:color="000000"/>
              <w:bottom w:val="single" w:sz="3" w:space="0" w:color="000000"/>
              <w:right w:val="nil"/>
            </w:tcBorders>
          </w:tcPr>
          <w:p w14:paraId="5E2D3019" w14:textId="77777777" w:rsidR="00541219" w:rsidRDefault="00541219">
            <w:pPr>
              <w:spacing w:after="160"/>
              <w:ind w:left="0" w:firstLine="0"/>
            </w:pPr>
          </w:p>
        </w:tc>
      </w:tr>
      <w:tr w:rsidR="00541219" w14:paraId="07BFC9AD" w14:textId="77777777">
        <w:trPr>
          <w:trHeight w:val="662"/>
        </w:trPr>
        <w:tc>
          <w:tcPr>
            <w:tcW w:w="5344" w:type="dxa"/>
            <w:tcBorders>
              <w:top w:val="single" w:sz="3" w:space="0" w:color="000000"/>
              <w:left w:val="single" w:sz="3" w:space="0" w:color="000000"/>
              <w:bottom w:val="single" w:sz="3" w:space="0" w:color="000000"/>
              <w:right w:val="single" w:sz="3" w:space="0" w:color="000000"/>
            </w:tcBorders>
            <w:vAlign w:val="center"/>
          </w:tcPr>
          <w:p w14:paraId="0891CACB" w14:textId="77777777" w:rsidR="00541219" w:rsidRDefault="00000000">
            <w:pPr>
              <w:spacing w:after="0"/>
              <w:ind w:left="0" w:right="19" w:firstLine="0"/>
              <w:jc w:val="both"/>
            </w:pPr>
            <w:r>
              <w:rPr>
                <w:sz w:val="8"/>
              </w:rPr>
              <w:t>79. O Poder Concedente prevê, no Decreto nº 12.068, de 2024, a abertura do mercado de serviços atualmente prestados pela distribuidora à concorrência, o que pode contribuir para eliminar barreiras, favorecer a entrada de novos fornecedores e beneficiar o consumidor pelo incentivo à eficiência e à inovação, podendo resultar em preços mais baixos e/ou qualidade superior.</w:t>
            </w:r>
          </w:p>
        </w:tc>
        <w:tc>
          <w:tcPr>
            <w:tcW w:w="1229" w:type="dxa"/>
            <w:tcBorders>
              <w:top w:val="single" w:sz="3" w:space="0" w:color="000000"/>
              <w:left w:val="single" w:sz="3" w:space="0" w:color="000000"/>
              <w:bottom w:val="single" w:sz="3" w:space="0" w:color="000000"/>
              <w:right w:val="single" w:sz="3" w:space="0" w:color="000000"/>
            </w:tcBorders>
            <w:vAlign w:val="center"/>
          </w:tcPr>
          <w:p w14:paraId="5C1D7E73"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7288DE29" w14:textId="66B857D0" w:rsidR="00541219" w:rsidRDefault="00000000" w:rsidP="00D31531">
            <w:pPr>
              <w:spacing w:after="0"/>
              <w:ind w:left="5" w:firstLine="0"/>
              <w:jc w:val="both"/>
            </w:pPr>
            <w:r>
              <w:t>Qualquer modelo concorrencial deve ser implementado, contudo os custos da abertura de mercado não podem recair totalmente no consumidor cativo como ocorre atualmente</w:t>
            </w:r>
            <w:r w:rsidR="00D31531">
              <w:t>. A</w:t>
            </w:r>
            <w:r>
              <w:t>ntes de flexibilizar é necessário que sejam aprovados instrumentos regulatórios para que todos tenham iguais responsabilidades sobre os custos, seja o mercado cativo, seja o mercado livre.</w:t>
            </w:r>
          </w:p>
        </w:tc>
      </w:tr>
      <w:tr w:rsidR="00541219" w14:paraId="2688C73D" w14:textId="77777777">
        <w:trPr>
          <w:trHeight w:val="564"/>
        </w:trPr>
        <w:tc>
          <w:tcPr>
            <w:tcW w:w="5344" w:type="dxa"/>
            <w:tcBorders>
              <w:top w:val="single" w:sz="3" w:space="0" w:color="000000"/>
              <w:left w:val="single" w:sz="3" w:space="0" w:color="000000"/>
              <w:bottom w:val="single" w:sz="3" w:space="0" w:color="000000"/>
              <w:right w:val="single" w:sz="3" w:space="0" w:color="000000"/>
            </w:tcBorders>
          </w:tcPr>
          <w:p w14:paraId="63A8B236" w14:textId="77777777" w:rsidR="00541219" w:rsidRDefault="00000000">
            <w:pPr>
              <w:spacing w:after="0"/>
              <w:ind w:left="0" w:firstLine="0"/>
            </w:pPr>
            <w:r>
              <w:rPr>
                <w:sz w:val="8"/>
              </w:rPr>
              <w:t>80. Com a abertura do mercado de serviços, existe a possibilidade de a distribuidora não mais ofertar o serviço liberalizado. Neste caso, não existiria o risco de que a distribuidora pudesse apresentar comportamentos que afetassem a concorrência no mercado desse serviço, exceto em caso de atuação de alguma parte relacionada como fornecedora naquele mercado. Nessa situação, seria preciso avaliar o potencial risco de condutas anticompetitivas, de forma a zelar pela concorrência. Em ambas as situações, não haveria necessidade de adequar a contabilidade regulatória. Entretanto, deve permanecer assegurado o equilíbrio econômico-financeiro da concessão, de modo que as condições do contrato original não sejam prejudicadas ou desequilibradas.</w:t>
            </w:r>
          </w:p>
        </w:tc>
        <w:tc>
          <w:tcPr>
            <w:tcW w:w="4920" w:type="dxa"/>
            <w:gridSpan w:val="2"/>
            <w:vMerge w:val="restart"/>
            <w:tcBorders>
              <w:top w:val="single" w:sz="3" w:space="0" w:color="000000"/>
              <w:left w:val="single" w:sz="3" w:space="0" w:color="000000"/>
              <w:bottom w:val="nil"/>
              <w:right w:val="nil"/>
            </w:tcBorders>
          </w:tcPr>
          <w:p w14:paraId="59C99C94" w14:textId="77777777" w:rsidR="00541219" w:rsidRDefault="00541219">
            <w:pPr>
              <w:spacing w:after="160"/>
              <w:ind w:left="0" w:firstLine="0"/>
            </w:pPr>
          </w:p>
        </w:tc>
      </w:tr>
      <w:tr w:rsidR="00541219" w14:paraId="27AEB7EB" w14:textId="77777777">
        <w:trPr>
          <w:trHeight w:val="938"/>
        </w:trPr>
        <w:tc>
          <w:tcPr>
            <w:tcW w:w="5344" w:type="dxa"/>
            <w:tcBorders>
              <w:top w:val="single" w:sz="3" w:space="0" w:color="000000"/>
              <w:left w:val="single" w:sz="3" w:space="0" w:color="000000"/>
              <w:bottom w:val="single" w:sz="3" w:space="0" w:color="000000"/>
              <w:right w:val="single" w:sz="3" w:space="0" w:color="000000"/>
            </w:tcBorders>
          </w:tcPr>
          <w:p w14:paraId="68503118" w14:textId="77777777" w:rsidR="00541219" w:rsidRDefault="00000000">
            <w:pPr>
              <w:spacing w:after="0" w:line="252" w:lineRule="auto"/>
              <w:ind w:left="0" w:firstLine="0"/>
            </w:pPr>
            <w:r>
              <w:rPr>
                <w:sz w:val="8"/>
              </w:rPr>
              <w:t xml:space="preserve">81. Outra possibilidade é a de que, mesmo com a liberalização do mercado do serviço prestado inicialmente somente pela concessionária, a distribuidora também possa prestar o serviço, concorrendo com outros agentes setoriais em um ambiente competitivo. Neste cenário, a ANEEL precisa avaliar o risco de que o poder de mercado da distribuidora, advindo de sua posição privilegiada, de seu poder econômico ou de possíveis condutas anticompetitivas possam atentar contra a concorrência no mercado desse serviço liberalizado. A atuação anticompetitiva pode resultar em várias falhas no mercado recém liberado, tais como: concorrência desleal com agentes de menor porte, barreiras à entrada, marketing ou preço predatório, entre outras possibilidades. Para evitar o efeito dessas condutas, a ANEEL deve atuar cumprindo sua competência de zelar pela concorrência, nos termos da Lei no 9.427, de 1996 e do Decreto no </w:t>
            </w:r>
          </w:p>
          <w:p w14:paraId="67785FED" w14:textId="77777777" w:rsidR="00541219" w:rsidRDefault="00000000">
            <w:pPr>
              <w:spacing w:after="0"/>
              <w:ind w:left="0" w:right="353" w:firstLine="0"/>
              <w:jc w:val="both"/>
            </w:pPr>
            <w:r>
              <w:rPr>
                <w:sz w:val="8"/>
              </w:rPr>
              <w:t>2.335, de 1997, além da Lei 12.529, de 2011 e a Lei 13.848, de 2019. Com a liberalização do mercado de serviços inicialmente prestados pela concessionária e caso a distribuidora também atue competindo com outros agentes pela prestação do serviço, será necessário monitorar o risco de interferência do desempenho operacional ou financeiro da atividade concorrencial sobre a atividade monopolista, que coexistem simultaneamente cadastradas sob um mesmo CNPJ.</w:t>
            </w:r>
          </w:p>
        </w:tc>
        <w:tc>
          <w:tcPr>
            <w:tcW w:w="0" w:type="auto"/>
            <w:gridSpan w:val="2"/>
            <w:vMerge/>
            <w:tcBorders>
              <w:top w:val="nil"/>
              <w:left w:val="single" w:sz="3" w:space="0" w:color="000000"/>
              <w:bottom w:val="nil"/>
              <w:right w:val="nil"/>
            </w:tcBorders>
          </w:tcPr>
          <w:p w14:paraId="1004EAC1" w14:textId="77777777" w:rsidR="00541219" w:rsidRDefault="00541219">
            <w:pPr>
              <w:spacing w:after="160"/>
              <w:ind w:left="0" w:firstLine="0"/>
            </w:pPr>
          </w:p>
        </w:tc>
      </w:tr>
      <w:tr w:rsidR="00541219" w14:paraId="251EB80D" w14:textId="77777777">
        <w:trPr>
          <w:trHeight w:val="564"/>
        </w:trPr>
        <w:tc>
          <w:tcPr>
            <w:tcW w:w="5344" w:type="dxa"/>
            <w:tcBorders>
              <w:top w:val="single" w:sz="3" w:space="0" w:color="000000"/>
              <w:left w:val="single" w:sz="3" w:space="0" w:color="000000"/>
              <w:bottom w:val="single" w:sz="3" w:space="0" w:color="000000"/>
              <w:right w:val="single" w:sz="3" w:space="0" w:color="000000"/>
            </w:tcBorders>
          </w:tcPr>
          <w:p w14:paraId="74D288FC" w14:textId="77777777" w:rsidR="00541219" w:rsidRDefault="00000000">
            <w:pPr>
              <w:spacing w:after="0"/>
              <w:ind w:left="0" w:firstLine="0"/>
            </w:pPr>
            <w:r>
              <w:rPr>
                <w:sz w:val="8"/>
              </w:rPr>
              <w:t>82. Essa situação deve ser adequadamente refletida na contabilidade para fins regulatórios, ou seja, para suprir necessidades do regulador, bem como auxiliar na fiscalização. A abertura de contas com a finalidade de separar contabilmente as atividades poderá ser feita na medida da necessidade da regulação ou fiscalização, tendo em vista que deve restar assegurada a preservação do equilíbrio econômico-financeiro da concessão sem prejudicar ou desequilibrar as condições do contrato original. Portanto, a ANEEL oportunamente poderá definir em regulamento a forma como a contabilidade deverá se adequar às necessidades regulatórias, notadamente por meio de diretrizes ou alterações no Manual de Contabilidade do Setor Elétrico.</w:t>
            </w:r>
          </w:p>
        </w:tc>
        <w:tc>
          <w:tcPr>
            <w:tcW w:w="0" w:type="auto"/>
            <w:gridSpan w:val="2"/>
            <w:vMerge/>
            <w:tcBorders>
              <w:top w:val="nil"/>
              <w:left w:val="single" w:sz="3" w:space="0" w:color="000000"/>
              <w:bottom w:val="nil"/>
              <w:right w:val="nil"/>
            </w:tcBorders>
          </w:tcPr>
          <w:p w14:paraId="4BDE2ADA" w14:textId="77777777" w:rsidR="00541219" w:rsidRDefault="00541219">
            <w:pPr>
              <w:spacing w:after="160"/>
              <w:ind w:left="0" w:firstLine="0"/>
            </w:pPr>
          </w:p>
        </w:tc>
      </w:tr>
    </w:tbl>
    <w:p w14:paraId="26878FCF" w14:textId="77777777" w:rsidR="00541219" w:rsidRDefault="00541219">
      <w:pPr>
        <w:spacing w:after="0"/>
        <w:ind w:left="-1440" w:right="8609" w:firstLine="0"/>
      </w:pPr>
    </w:p>
    <w:tbl>
      <w:tblPr>
        <w:tblStyle w:val="TableGrid"/>
        <w:tblW w:w="10264" w:type="dxa"/>
        <w:tblInd w:w="-688" w:type="dxa"/>
        <w:tblCellMar>
          <w:top w:w="0" w:type="dxa"/>
          <w:left w:w="19" w:type="dxa"/>
          <w:bottom w:w="0" w:type="dxa"/>
          <w:right w:w="20" w:type="dxa"/>
        </w:tblCellMar>
        <w:tblLook w:val="04A0" w:firstRow="1" w:lastRow="0" w:firstColumn="1" w:lastColumn="0" w:noHBand="0" w:noVBand="1"/>
      </w:tblPr>
      <w:tblGrid>
        <w:gridCol w:w="5344"/>
        <w:gridCol w:w="1229"/>
        <w:gridCol w:w="3691"/>
      </w:tblGrid>
      <w:tr w:rsidR="00541219" w14:paraId="00127E3A" w14:textId="77777777">
        <w:trPr>
          <w:trHeight w:val="150"/>
        </w:trPr>
        <w:tc>
          <w:tcPr>
            <w:tcW w:w="10264" w:type="dxa"/>
            <w:gridSpan w:val="3"/>
            <w:tcBorders>
              <w:top w:val="single" w:sz="6" w:space="0" w:color="000000"/>
              <w:left w:val="single" w:sz="6" w:space="0" w:color="000000"/>
              <w:bottom w:val="single" w:sz="3" w:space="0" w:color="000000"/>
              <w:right w:val="single" w:sz="6" w:space="0" w:color="000000"/>
            </w:tcBorders>
          </w:tcPr>
          <w:p w14:paraId="39A4BDCF" w14:textId="77777777" w:rsidR="00541219" w:rsidRDefault="00000000">
            <w:pPr>
              <w:spacing w:after="0"/>
              <w:ind w:left="16" w:firstLine="0"/>
              <w:jc w:val="center"/>
            </w:pPr>
            <w:r>
              <w:rPr>
                <w:color w:val="0000FF"/>
                <w:sz w:val="12"/>
              </w:rPr>
              <w:t>CONTRIBUIÇÃO REFERENTE À CONSULTA PÚBLICA Nº 27/2024</w:t>
            </w:r>
          </w:p>
        </w:tc>
      </w:tr>
      <w:tr w:rsidR="00541219" w14:paraId="563E8F0D" w14:textId="77777777">
        <w:trPr>
          <w:trHeight w:val="149"/>
        </w:trPr>
        <w:tc>
          <w:tcPr>
            <w:tcW w:w="10264" w:type="dxa"/>
            <w:gridSpan w:val="3"/>
            <w:tcBorders>
              <w:top w:val="single" w:sz="3" w:space="0" w:color="000000"/>
              <w:left w:val="single" w:sz="6" w:space="0" w:color="000000"/>
              <w:bottom w:val="single" w:sz="3" w:space="0" w:color="000000"/>
              <w:right w:val="single" w:sz="6" w:space="0" w:color="000000"/>
            </w:tcBorders>
          </w:tcPr>
          <w:p w14:paraId="60812A3F" w14:textId="77777777" w:rsidR="00541219" w:rsidRDefault="00000000">
            <w:pPr>
              <w:spacing w:after="0"/>
              <w:ind w:left="4" w:firstLine="0"/>
              <w:jc w:val="center"/>
            </w:pPr>
            <w:r>
              <w:rPr>
                <w:color w:val="0000FF"/>
                <w:sz w:val="12"/>
              </w:rPr>
              <w:t>NOME DA INSTITUIÇÃO: CONCEN Conselho de Consumidores da Energisa Mato Grosso do Sul</w:t>
            </w:r>
          </w:p>
        </w:tc>
      </w:tr>
      <w:tr w:rsidR="00541219" w14:paraId="382E57FD" w14:textId="77777777">
        <w:trPr>
          <w:trHeight w:val="149"/>
        </w:trPr>
        <w:tc>
          <w:tcPr>
            <w:tcW w:w="10264" w:type="dxa"/>
            <w:gridSpan w:val="3"/>
            <w:tcBorders>
              <w:top w:val="single" w:sz="3" w:space="0" w:color="000000"/>
              <w:left w:val="single" w:sz="6" w:space="0" w:color="000000"/>
              <w:bottom w:val="single" w:sz="3" w:space="0" w:color="000000"/>
              <w:right w:val="single" w:sz="6" w:space="0" w:color="000000"/>
            </w:tcBorders>
          </w:tcPr>
          <w:p w14:paraId="3902B6DF" w14:textId="77777777" w:rsidR="00541219" w:rsidRDefault="00000000">
            <w:pPr>
              <w:tabs>
                <w:tab w:val="center" w:pos="626"/>
                <w:tab w:val="center" w:pos="5122"/>
              </w:tabs>
              <w:spacing w:after="0"/>
              <w:ind w:left="0" w:firstLine="0"/>
            </w:pPr>
            <w:r>
              <w:rPr>
                <w:rFonts w:ascii="Calibri" w:eastAsia="Calibri" w:hAnsi="Calibri" w:cs="Calibri"/>
                <w:sz w:val="22"/>
              </w:rPr>
              <w:tab/>
            </w:r>
            <w:r>
              <w:rPr>
                <w:noProof/>
              </w:rPr>
              <w:drawing>
                <wp:inline distT="0" distB="0" distL="0" distR="0" wp14:anchorId="5CAC7675" wp14:editId="5F494224">
                  <wp:extent cx="585216" cy="362712"/>
                  <wp:effectExtent l="0" t="0" r="0" b="0"/>
                  <wp:docPr id="1671" name="Picture 1671"/>
                  <wp:cNvGraphicFramePr/>
                  <a:graphic xmlns:a="http://schemas.openxmlformats.org/drawingml/2006/main">
                    <a:graphicData uri="http://schemas.openxmlformats.org/drawingml/2006/picture">
                      <pic:pic xmlns:pic="http://schemas.openxmlformats.org/drawingml/2006/picture">
                        <pic:nvPicPr>
                          <pic:cNvPr id="1671" name="Picture 1671"/>
                          <pic:cNvPicPr/>
                        </pic:nvPicPr>
                        <pic:blipFill>
                          <a:blip r:embed="rId5"/>
                          <a:stretch>
                            <a:fillRect/>
                          </a:stretch>
                        </pic:blipFill>
                        <pic:spPr>
                          <a:xfrm>
                            <a:off x="0" y="0"/>
                            <a:ext cx="585216" cy="362712"/>
                          </a:xfrm>
                          <a:prstGeom prst="rect">
                            <a:avLst/>
                          </a:prstGeom>
                        </pic:spPr>
                      </pic:pic>
                    </a:graphicData>
                  </a:graphic>
                </wp:inline>
              </w:drawing>
            </w:r>
            <w:r>
              <w:rPr>
                <w:color w:val="0000FF"/>
                <w:sz w:val="12"/>
              </w:rPr>
              <w:tab/>
              <w:t>AGÊNCIA NACIONAL DE ENERGIA ELÉTRICA – ANEEL</w:t>
            </w:r>
          </w:p>
        </w:tc>
      </w:tr>
      <w:tr w:rsidR="00541219" w14:paraId="3DFF21E4" w14:textId="77777777">
        <w:trPr>
          <w:trHeight w:val="178"/>
        </w:trPr>
        <w:tc>
          <w:tcPr>
            <w:tcW w:w="10264" w:type="dxa"/>
            <w:gridSpan w:val="3"/>
            <w:tcBorders>
              <w:top w:val="single" w:sz="3" w:space="0" w:color="000000"/>
              <w:left w:val="single" w:sz="6" w:space="0" w:color="000000"/>
              <w:bottom w:val="single" w:sz="3" w:space="0" w:color="000000"/>
              <w:right w:val="single" w:sz="6" w:space="0" w:color="000000"/>
            </w:tcBorders>
          </w:tcPr>
          <w:p w14:paraId="64F2499E" w14:textId="77777777" w:rsidR="00541219" w:rsidRDefault="00000000">
            <w:pPr>
              <w:spacing w:after="0"/>
              <w:ind w:left="14" w:firstLine="0"/>
              <w:jc w:val="center"/>
            </w:pPr>
            <w:r>
              <w:rPr>
                <w:color w:val="0000FF"/>
              </w:rPr>
              <w:t>NOTA TÉCNICA nº 1.056/2024-SCE-SFF-SFT-SMA-STE-STD-STR/ANEEL de 09 de outubro de 2024.</w:t>
            </w:r>
          </w:p>
        </w:tc>
      </w:tr>
      <w:tr w:rsidR="00541219" w14:paraId="1F1EBC2C" w14:textId="77777777">
        <w:trPr>
          <w:trHeight w:val="194"/>
        </w:trPr>
        <w:tc>
          <w:tcPr>
            <w:tcW w:w="10264" w:type="dxa"/>
            <w:gridSpan w:val="3"/>
            <w:tcBorders>
              <w:top w:val="single" w:sz="3" w:space="0" w:color="000000"/>
              <w:left w:val="single" w:sz="6" w:space="0" w:color="000000"/>
              <w:bottom w:val="single" w:sz="3" w:space="0" w:color="000000"/>
              <w:right w:val="single" w:sz="6" w:space="0" w:color="000000"/>
            </w:tcBorders>
          </w:tcPr>
          <w:p w14:paraId="7FC40C74" w14:textId="77777777" w:rsidR="00541219" w:rsidRDefault="00000000">
            <w:pPr>
              <w:spacing w:after="0"/>
              <w:ind w:left="2" w:firstLine="0"/>
              <w:jc w:val="center"/>
            </w:pPr>
            <w:r>
              <w:rPr>
                <w:color w:val="0000FF"/>
              </w:rPr>
              <w:t xml:space="preserve">                                                               EMENTA: Obter subsídios para o aprimoramento da minuta de termo aditivo ao contrato de concessão de distribuição de energia elétrica com vistas à prorrogação das concessões.</w:t>
            </w:r>
          </w:p>
        </w:tc>
      </w:tr>
      <w:tr w:rsidR="00541219" w14:paraId="3532B8E1" w14:textId="77777777">
        <w:trPr>
          <w:trHeight w:val="132"/>
        </w:trPr>
        <w:tc>
          <w:tcPr>
            <w:tcW w:w="10264" w:type="dxa"/>
            <w:gridSpan w:val="3"/>
            <w:tcBorders>
              <w:top w:val="single" w:sz="3" w:space="0" w:color="000000"/>
              <w:left w:val="single" w:sz="6" w:space="0" w:color="000000"/>
              <w:bottom w:val="single" w:sz="3" w:space="0" w:color="000000"/>
              <w:right w:val="single" w:sz="6" w:space="0" w:color="000000"/>
            </w:tcBorders>
          </w:tcPr>
          <w:p w14:paraId="7925AB8A" w14:textId="77777777" w:rsidR="00541219" w:rsidRDefault="00000000">
            <w:pPr>
              <w:spacing w:after="0"/>
              <w:ind w:left="1" w:firstLine="0"/>
              <w:jc w:val="center"/>
            </w:pPr>
            <w:r>
              <w:rPr>
                <w:color w:val="0000FF"/>
                <w:sz w:val="11"/>
              </w:rPr>
              <w:t>CONTRIBUIÇÕES RECEBIDAS</w:t>
            </w:r>
          </w:p>
        </w:tc>
      </w:tr>
      <w:tr w:rsidR="00541219" w14:paraId="646916FC" w14:textId="77777777">
        <w:trPr>
          <w:trHeight w:val="275"/>
        </w:trPr>
        <w:tc>
          <w:tcPr>
            <w:tcW w:w="10264" w:type="dxa"/>
            <w:gridSpan w:val="3"/>
            <w:tcBorders>
              <w:top w:val="single" w:sz="3" w:space="0" w:color="000000"/>
              <w:left w:val="single" w:sz="6" w:space="0" w:color="000000"/>
              <w:bottom w:val="single" w:sz="6" w:space="0" w:color="000000"/>
              <w:right w:val="single" w:sz="6" w:space="0" w:color="000000"/>
            </w:tcBorders>
          </w:tcPr>
          <w:p w14:paraId="75EB715E" w14:textId="77777777" w:rsidR="00541219" w:rsidRDefault="00000000">
            <w:pPr>
              <w:spacing w:after="0"/>
              <w:ind w:left="0" w:firstLine="0"/>
            </w:pPr>
            <w:r>
              <w:t>IMPORTANTE: Os comentários e sugestões referentes às contribuições deverão ser fundamentados e justificados, mencionando-se os artigos, parágrafos e incisos a que se referem, devendo ser acompanhados de textos alternativos e substitutivos quando envolverem sugestões de inclusão ou alteração, parcial ou total, de qualquer dispositivo.</w:t>
            </w:r>
          </w:p>
        </w:tc>
      </w:tr>
      <w:tr w:rsidR="00541219" w14:paraId="309131B2" w14:textId="77777777">
        <w:trPr>
          <w:trHeight w:val="213"/>
        </w:trPr>
        <w:tc>
          <w:tcPr>
            <w:tcW w:w="5344" w:type="dxa"/>
            <w:tcBorders>
              <w:top w:val="single" w:sz="6" w:space="0" w:color="000000"/>
              <w:left w:val="single" w:sz="6" w:space="0" w:color="000000"/>
              <w:bottom w:val="double" w:sz="4" w:space="0" w:color="000000"/>
              <w:right w:val="single" w:sz="6" w:space="0" w:color="000000"/>
            </w:tcBorders>
            <w:shd w:val="clear" w:color="auto" w:fill="FF0000"/>
          </w:tcPr>
          <w:p w14:paraId="2EA3BADB" w14:textId="77777777" w:rsidR="00541219" w:rsidRDefault="00000000">
            <w:pPr>
              <w:spacing w:after="0"/>
              <w:ind w:left="3" w:firstLine="0"/>
              <w:jc w:val="center"/>
            </w:pPr>
            <w:r>
              <w:rPr>
                <w:color w:val="FFFFFF"/>
                <w:sz w:val="11"/>
              </w:rPr>
              <w:t xml:space="preserve">TEXTO/ANEEL </w:t>
            </w:r>
          </w:p>
        </w:tc>
        <w:tc>
          <w:tcPr>
            <w:tcW w:w="1229" w:type="dxa"/>
            <w:tcBorders>
              <w:top w:val="single" w:sz="6" w:space="0" w:color="000000"/>
              <w:left w:val="single" w:sz="6" w:space="0" w:color="000000"/>
              <w:bottom w:val="single" w:sz="6" w:space="0" w:color="000000"/>
              <w:right w:val="single" w:sz="6" w:space="0" w:color="000000"/>
            </w:tcBorders>
            <w:shd w:val="clear" w:color="auto" w:fill="FF0000"/>
          </w:tcPr>
          <w:p w14:paraId="5A444052" w14:textId="77777777" w:rsidR="00541219" w:rsidRDefault="00000000">
            <w:pPr>
              <w:spacing w:after="0"/>
              <w:ind w:left="70" w:firstLine="0"/>
            </w:pPr>
            <w:r>
              <w:rPr>
                <w:color w:val="FFFFFF"/>
                <w:sz w:val="11"/>
              </w:rPr>
              <w:t>TEXTO/INSTITUIÇÃO</w:t>
            </w:r>
          </w:p>
        </w:tc>
        <w:tc>
          <w:tcPr>
            <w:tcW w:w="3691" w:type="dxa"/>
            <w:tcBorders>
              <w:top w:val="single" w:sz="6" w:space="0" w:color="000000"/>
              <w:left w:val="single" w:sz="6" w:space="0" w:color="000000"/>
              <w:bottom w:val="single" w:sz="6" w:space="0" w:color="000000"/>
              <w:right w:val="single" w:sz="6" w:space="0" w:color="000000"/>
            </w:tcBorders>
            <w:shd w:val="clear" w:color="auto" w:fill="FF0000"/>
          </w:tcPr>
          <w:p w14:paraId="07645EB0" w14:textId="77777777" w:rsidR="00541219" w:rsidRDefault="00000000">
            <w:pPr>
              <w:spacing w:after="0"/>
              <w:ind w:left="21" w:firstLine="0"/>
              <w:jc w:val="center"/>
            </w:pPr>
            <w:r>
              <w:rPr>
                <w:color w:val="FFFFFF"/>
                <w:sz w:val="11"/>
              </w:rPr>
              <w:t>JUSTIFICATIVA/INSTITUIÇÃO</w:t>
            </w:r>
          </w:p>
        </w:tc>
      </w:tr>
      <w:tr w:rsidR="00541219" w14:paraId="5C872D3B" w14:textId="77777777">
        <w:trPr>
          <w:trHeight w:val="388"/>
        </w:trPr>
        <w:tc>
          <w:tcPr>
            <w:tcW w:w="5344" w:type="dxa"/>
            <w:tcBorders>
              <w:top w:val="double" w:sz="4" w:space="0" w:color="000000"/>
              <w:left w:val="single" w:sz="3" w:space="0" w:color="000000"/>
              <w:bottom w:val="single" w:sz="3" w:space="0" w:color="000000"/>
              <w:right w:val="single" w:sz="3" w:space="0" w:color="000000"/>
            </w:tcBorders>
          </w:tcPr>
          <w:p w14:paraId="4D2C5680" w14:textId="77777777" w:rsidR="00541219" w:rsidRDefault="00000000">
            <w:pPr>
              <w:spacing w:after="0"/>
              <w:ind w:left="0" w:firstLine="0"/>
            </w:pPr>
            <w:r>
              <w:rPr>
                <w:sz w:val="8"/>
              </w:rPr>
              <w:t>83. O Decreto no 12.068, de 2024 esclarece que as concessionárias que assumirem o compromisso pela renovação de concessão, “não serão ressarcidas pela eventual abertura ao ambiente competitivo da prestação de serviços inicialmente por elas prestados, com vistas a beneficiar o usuário com ampliação da concorrência no setor elétrico”. Não obstante, a regulamentação contábil ou concorrencial depende de definição futura quanto ao serviço e as condições de sua disponibilização para novos ofertantes.</w:t>
            </w:r>
          </w:p>
        </w:tc>
        <w:tc>
          <w:tcPr>
            <w:tcW w:w="1229" w:type="dxa"/>
            <w:vMerge w:val="restart"/>
            <w:tcBorders>
              <w:top w:val="single" w:sz="6" w:space="0" w:color="000000"/>
              <w:left w:val="single" w:sz="3" w:space="0" w:color="000000"/>
              <w:bottom w:val="single" w:sz="3" w:space="0" w:color="000000"/>
              <w:right w:val="nil"/>
            </w:tcBorders>
          </w:tcPr>
          <w:p w14:paraId="38FF485D" w14:textId="77777777" w:rsidR="00541219" w:rsidRDefault="00541219">
            <w:pPr>
              <w:spacing w:after="160"/>
              <w:ind w:left="0" w:firstLine="0"/>
            </w:pPr>
          </w:p>
        </w:tc>
        <w:tc>
          <w:tcPr>
            <w:tcW w:w="3691" w:type="dxa"/>
            <w:vMerge w:val="restart"/>
            <w:tcBorders>
              <w:top w:val="single" w:sz="6" w:space="0" w:color="000000"/>
              <w:left w:val="nil"/>
              <w:bottom w:val="single" w:sz="3" w:space="0" w:color="000000"/>
              <w:right w:val="nil"/>
            </w:tcBorders>
          </w:tcPr>
          <w:p w14:paraId="3487E5C9" w14:textId="77777777" w:rsidR="00541219" w:rsidRDefault="00541219">
            <w:pPr>
              <w:spacing w:after="160"/>
              <w:ind w:left="0" w:firstLine="0"/>
            </w:pPr>
          </w:p>
        </w:tc>
      </w:tr>
      <w:tr w:rsidR="00541219" w14:paraId="38FAA5AF" w14:textId="77777777">
        <w:trPr>
          <w:trHeight w:val="424"/>
        </w:trPr>
        <w:tc>
          <w:tcPr>
            <w:tcW w:w="5344" w:type="dxa"/>
            <w:tcBorders>
              <w:top w:val="single" w:sz="3" w:space="0" w:color="000000"/>
              <w:left w:val="single" w:sz="3" w:space="0" w:color="000000"/>
              <w:bottom w:val="double" w:sz="3" w:space="0" w:color="000000"/>
              <w:right w:val="single" w:sz="3" w:space="0" w:color="000000"/>
            </w:tcBorders>
          </w:tcPr>
          <w:p w14:paraId="48DF08C6" w14:textId="77777777" w:rsidR="00541219" w:rsidRDefault="00000000">
            <w:pPr>
              <w:spacing w:after="0"/>
              <w:ind w:left="497" w:firstLine="0"/>
            </w:pPr>
            <w:r>
              <w:rPr>
                <w:sz w:val="8"/>
              </w:rPr>
              <w:t xml:space="preserve">     Cláusula Primeira – Objeto (...)</w:t>
            </w:r>
          </w:p>
          <w:p w14:paraId="2F6073B0" w14:textId="77777777" w:rsidR="00541219" w:rsidRDefault="00000000">
            <w:pPr>
              <w:spacing w:after="0"/>
              <w:ind w:left="497" w:firstLine="0"/>
            </w:pPr>
            <w:r>
              <w:rPr>
                <w:sz w:val="8"/>
              </w:rPr>
              <w:t xml:space="preserve">     Subcláusula Oitava     (...)</w:t>
            </w:r>
          </w:p>
          <w:p w14:paraId="22430606" w14:textId="77777777" w:rsidR="00541219" w:rsidRDefault="00000000">
            <w:pPr>
              <w:spacing w:after="0"/>
              <w:ind w:left="497" w:firstLine="0"/>
            </w:pPr>
            <w:r>
              <w:rPr>
                <w:sz w:val="8"/>
              </w:rPr>
              <w:t xml:space="preserve">     Parágrafo Único. A separação dos serviços passíveis de serem exercidos em ambiente competitivo por terceiros de que trata o caput da Subcláusula Oitava será adequadamente refletida na contabilidade para fins regulatórios, conforme estabelecido em regulação da ANEEL.</w:t>
            </w:r>
          </w:p>
        </w:tc>
        <w:tc>
          <w:tcPr>
            <w:tcW w:w="0" w:type="auto"/>
            <w:vMerge/>
            <w:tcBorders>
              <w:top w:val="nil"/>
              <w:left w:val="single" w:sz="3" w:space="0" w:color="000000"/>
              <w:bottom w:val="single" w:sz="3" w:space="0" w:color="000000"/>
              <w:right w:val="nil"/>
            </w:tcBorders>
          </w:tcPr>
          <w:p w14:paraId="004ADAEB" w14:textId="77777777" w:rsidR="00541219" w:rsidRDefault="00541219">
            <w:pPr>
              <w:spacing w:after="160"/>
              <w:ind w:left="0" w:firstLine="0"/>
            </w:pPr>
          </w:p>
        </w:tc>
        <w:tc>
          <w:tcPr>
            <w:tcW w:w="0" w:type="auto"/>
            <w:vMerge/>
            <w:tcBorders>
              <w:top w:val="nil"/>
              <w:left w:val="nil"/>
              <w:bottom w:val="single" w:sz="3" w:space="0" w:color="000000"/>
              <w:right w:val="nil"/>
            </w:tcBorders>
          </w:tcPr>
          <w:p w14:paraId="52BD0877" w14:textId="77777777" w:rsidR="00541219" w:rsidRDefault="00541219">
            <w:pPr>
              <w:spacing w:after="160"/>
              <w:ind w:left="0" w:firstLine="0"/>
            </w:pPr>
          </w:p>
        </w:tc>
      </w:tr>
      <w:tr w:rsidR="00541219" w14:paraId="067FFE93" w14:textId="77777777">
        <w:trPr>
          <w:trHeight w:val="709"/>
        </w:trPr>
        <w:tc>
          <w:tcPr>
            <w:tcW w:w="5344" w:type="dxa"/>
            <w:tcBorders>
              <w:top w:val="double" w:sz="3" w:space="0" w:color="000000"/>
              <w:left w:val="single" w:sz="3" w:space="0" w:color="000000"/>
              <w:bottom w:val="single" w:sz="3" w:space="0" w:color="000000"/>
              <w:right w:val="single" w:sz="3" w:space="0" w:color="000000"/>
            </w:tcBorders>
          </w:tcPr>
          <w:p w14:paraId="02B2F462" w14:textId="77777777" w:rsidR="00541219" w:rsidRDefault="00000000">
            <w:pPr>
              <w:spacing w:after="137"/>
              <w:ind w:left="0" w:firstLine="0"/>
            </w:pPr>
            <w:r>
              <w:rPr>
                <w:sz w:val="8"/>
              </w:rPr>
              <w:t>III.1.2.6 – Vedações a condutas anticoncorrenciais na migração para o ACL – tratamento dos dados dos consumidores</w:t>
            </w:r>
          </w:p>
          <w:p w14:paraId="265603DB" w14:textId="77777777" w:rsidR="00541219" w:rsidRDefault="00000000">
            <w:pPr>
              <w:spacing w:after="0"/>
              <w:ind w:left="0" w:firstLine="0"/>
            </w:pPr>
            <w:r>
              <w:rPr>
                <w:sz w:val="8"/>
              </w:rPr>
              <w:t>84. O art. 15 e o art. 16 da Lei no 9.074, de 7 de julho de 1995 dispõem sobre as opções de compra de energia elétrica por parte dos consumidores no Ambiente de Contratação Livre – ACL, mercado regido por concorrência. No ACL, os consumidores possuem poder de escolha de produtos e fornecedores mais ajustados às suas necessidades, observando regras contratuais e regulamentares menos rígidas do que as observadas no Ambiente de Contratação Regulada – ACR.</w:t>
            </w:r>
          </w:p>
        </w:tc>
        <w:tc>
          <w:tcPr>
            <w:tcW w:w="1229" w:type="dxa"/>
            <w:tcBorders>
              <w:top w:val="single" w:sz="3" w:space="0" w:color="000000"/>
              <w:left w:val="single" w:sz="3" w:space="0" w:color="000000"/>
              <w:bottom w:val="single" w:sz="3" w:space="0" w:color="000000"/>
              <w:right w:val="single" w:sz="3" w:space="0" w:color="000000"/>
            </w:tcBorders>
            <w:vAlign w:val="center"/>
          </w:tcPr>
          <w:p w14:paraId="4CDEC180"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18B22D49" w14:textId="57D72D01" w:rsidR="00541219" w:rsidRDefault="00000000" w:rsidP="00E5084E">
            <w:pPr>
              <w:spacing w:after="0"/>
              <w:ind w:left="5" w:firstLine="0"/>
              <w:jc w:val="both"/>
            </w:pPr>
            <w:r>
              <w:t>Qualquer modelo concorrencial deve ser implementado, contudo os custos da abertura de mercado não podem recair totalmente no consumidor cativo como ocorre atualmente</w:t>
            </w:r>
            <w:r w:rsidR="00E5084E">
              <w:t>. A</w:t>
            </w:r>
            <w:r>
              <w:t>ntes de flexibilizar é necessário que sejam aprovados instrumentos regulatórios para que todos tenham iguais responsabilidades sobre os custos, seja o mercado cativo, seja o mercado livre.</w:t>
            </w:r>
          </w:p>
        </w:tc>
      </w:tr>
      <w:tr w:rsidR="00541219" w14:paraId="0033DE60" w14:textId="77777777">
        <w:trPr>
          <w:trHeight w:val="662"/>
        </w:trPr>
        <w:tc>
          <w:tcPr>
            <w:tcW w:w="5344" w:type="dxa"/>
            <w:tcBorders>
              <w:top w:val="single" w:sz="3" w:space="0" w:color="000000"/>
              <w:left w:val="single" w:sz="3" w:space="0" w:color="000000"/>
              <w:bottom w:val="single" w:sz="3" w:space="0" w:color="000000"/>
              <w:right w:val="single" w:sz="3" w:space="0" w:color="000000"/>
            </w:tcBorders>
          </w:tcPr>
          <w:p w14:paraId="7755F197" w14:textId="77777777" w:rsidR="00541219" w:rsidRDefault="00000000">
            <w:pPr>
              <w:spacing w:after="0"/>
              <w:ind w:left="0" w:firstLine="0"/>
            </w:pPr>
            <w:r>
              <w:rPr>
                <w:sz w:val="8"/>
              </w:rPr>
              <w:t>85. O mercado concorrencial pode beneficiar os consumidores pela possibilidade de exercer sua escolha, pelo incentivo à eficiência e à inovação dos comercializadores de energia, pelo resultado econômico que pode significar redução de preço, pela inexistência de barreiras à entrada e pela maior dificuldade para empresas ineficientes permanecerem no mercado. Por outro lado, no ACL o consumidor assume o risco decorrente do exercício de sua capacidade de tomada de decisão, no que diz respeito à rigidez e confiabilidade do fornecedor escolhido, bem como poderá, com maior probabilidade, se deparar com um fornecedor ineficiente.</w:t>
            </w:r>
          </w:p>
        </w:tc>
        <w:tc>
          <w:tcPr>
            <w:tcW w:w="1229" w:type="dxa"/>
            <w:tcBorders>
              <w:top w:val="single" w:sz="3" w:space="0" w:color="000000"/>
              <w:left w:val="single" w:sz="3" w:space="0" w:color="000000"/>
              <w:bottom w:val="single" w:sz="3" w:space="0" w:color="000000"/>
              <w:right w:val="single" w:sz="3" w:space="0" w:color="000000"/>
            </w:tcBorders>
            <w:vAlign w:val="center"/>
          </w:tcPr>
          <w:p w14:paraId="372223CB"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33C3F8FD" w14:textId="3B8C18D3" w:rsidR="00541219" w:rsidRDefault="00000000" w:rsidP="00FE449E">
            <w:pPr>
              <w:spacing w:after="0"/>
              <w:ind w:left="5" w:firstLine="0"/>
              <w:jc w:val="both"/>
            </w:pPr>
            <w:r>
              <w:t>Qualquer modelo concorrencial deve ser implementado, contudo os custos da abertura de mercado não podem recair totalmente no consumidor cativo como ocorre atualmente</w:t>
            </w:r>
            <w:r w:rsidR="00E5084E">
              <w:t>. A</w:t>
            </w:r>
            <w:r>
              <w:t>ntes de flexibilizar é necessário que sejam aprovados instrumentos regulatórios para que todos tenham iguais responsabilidades sobre os custos, seja o mercado cativo, seja o mercado livre.</w:t>
            </w:r>
          </w:p>
        </w:tc>
      </w:tr>
      <w:tr w:rsidR="00541219" w14:paraId="5A09F6A3" w14:textId="77777777">
        <w:trPr>
          <w:trHeight w:val="662"/>
        </w:trPr>
        <w:tc>
          <w:tcPr>
            <w:tcW w:w="5344" w:type="dxa"/>
            <w:tcBorders>
              <w:top w:val="single" w:sz="3" w:space="0" w:color="000000"/>
              <w:left w:val="single" w:sz="3" w:space="0" w:color="000000"/>
              <w:bottom w:val="single" w:sz="3" w:space="0" w:color="000000"/>
              <w:right w:val="single" w:sz="3" w:space="0" w:color="000000"/>
            </w:tcBorders>
            <w:vAlign w:val="center"/>
          </w:tcPr>
          <w:p w14:paraId="60E6C1E5" w14:textId="77777777" w:rsidR="00541219" w:rsidRDefault="00000000">
            <w:pPr>
              <w:spacing w:after="2"/>
              <w:ind w:left="0" w:firstLine="0"/>
            </w:pPr>
            <w:r>
              <w:rPr>
                <w:sz w:val="8"/>
              </w:rPr>
              <w:t xml:space="preserve">86. Os art. 15 e 16 da Lei no 9.074, de 1995 também demonstram como o ACL foi sendo gradualmente liberalizado. Com o respaldo da legislação, o </w:t>
            </w:r>
          </w:p>
          <w:p w14:paraId="0FA950CD" w14:textId="77777777" w:rsidR="00541219" w:rsidRDefault="00000000">
            <w:pPr>
              <w:spacing w:after="0"/>
              <w:ind w:left="0" w:firstLine="0"/>
            </w:pPr>
            <w:r>
              <w:rPr>
                <w:sz w:val="8"/>
              </w:rPr>
              <w:t>Ministério de Minas e Energia - MME emitiu atos que reduziam gradativamente as restrições para o acesso dos consumidores ao mercado livre de energia.</w:t>
            </w:r>
          </w:p>
        </w:tc>
        <w:tc>
          <w:tcPr>
            <w:tcW w:w="1229" w:type="dxa"/>
            <w:tcBorders>
              <w:top w:val="single" w:sz="3" w:space="0" w:color="000000"/>
              <w:left w:val="single" w:sz="3" w:space="0" w:color="000000"/>
              <w:bottom w:val="single" w:sz="3" w:space="0" w:color="000000"/>
              <w:right w:val="single" w:sz="3" w:space="0" w:color="000000"/>
            </w:tcBorders>
            <w:vAlign w:val="center"/>
          </w:tcPr>
          <w:p w14:paraId="6D8D8BD5"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6A3A4F88" w14:textId="7C95064D" w:rsidR="00541219" w:rsidRDefault="00000000" w:rsidP="00843CCE">
            <w:pPr>
              <w:spacing w:after="0"/>
              <w:ind w:left="5" w:firstLine="0"/>
              <w:jc w:val="both"/>
            </w:pPr>
            <w:r>
              <w:t>Qualquer modelo concorrencial deve ser implementado, contudo os custos da abertura de mercado não podem recair totalmente no consumidor cativo como ocorre atualmente</w:t>
            </w:r>
            <w:r w:rsidR="00FE449E">
              <w:t>. A</w:t>
            </w:r>
            <w:r>
              <w:t>ntes de flexibilizar é necessário que sejam aprovados instrumentos regulatórios para que todos tenham iguais responsabilidades sobre os custos, seja o mercado cativo, seja o mercado livre.</w:t>
            </w:r>
          </w:p>
        </w:tc>
      </w:tr>
      <w:tr w:rsidR="00541219" w14:paraId="57096275"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4B47AA13" w14:textId="77777777" w:rsidR="00541219" w:rsidRDefault="00000000">
            <w:pPr>
              <w:spacing w:after="0"/>
              <w:ind w:left="0" w:firstLine="0"/>
            </w:pPr>
            <w:r>
              <w:rPr>
                <w:sz w:val="8"/>
              </w:rPr>
              <w:t>87. Na prestação do serviço de distribuição, as distribuidoras obtêm e mantêm, por meio do cadastro e de seus sistemas de medição das unidades consumidoras, várias informações específicas, as quais revelam as preferências, hábitos e características das unidades consumidoras, que se traduzem no perfil de consumo dos clientes. Tais informações são valiosas e relevantes para a prospecção de novos consumidores e para a formatação de serviços customizados a serem ofertados no mercado livre.</w:t>
            </w:r>
          </w:p>
        </w:tc>
        <w:tc>
          <w:tcPr>
            <w:tcW w:w="1229" w:type="dxa"/>
            <w:tcBorders>
              <w:top w:val="single" w:sz="3" w:space="0" w:color="000000"/>
              <w:left w:val="single" w:sz="3" w:space="0" w:color="000000"/>
              <w:bottom w:val="single" w:sz="3" w:space="0" w:color="000000"/>
              <w:right w:val="nil"/>
            </w:tcBorders>
          </w:tcPr>
          <w:p w14:paraId="17547319" w14:textId="77777777" w:rsidR="00541219" w:rsidRDefault="00541219">
            <w:pPr>
              <w:spacing w:after="160"/>
              <w:ind w:left="0" w:firstLine="0"/>
            </w:pPr>
          </w:p>
        </w:tc>
        <w:tc>
          <w:tcPr>
            <w:tcW w:w="3691" w:type="dxa"/>
            <w:tcBorders>
              <w:top w:val="single" w:sz="3" w:space="0" w:color="000000"/>
              <w:left w:val="nil"/>
              <w:bottom w:val="single" w:sz="3" w:space="0" w:color="000000"/>
              <w:right w:val="nil"/>
            </w:tcBorders>
          </w:tcPr>
          <w:p w14:paraId="1DD0318B" w14:textId="77777777" w:rsidR="00541219" w:rsidRDefault="00541219">
            <w:pPr>
              <w:spacing w:after="160"/>
              <w:ind w:left="0" w:firstLine="0"/>
            </w:pPr>
          </w:p>
        </w:tc>
      </w:tr>
      <w:tr w:rsidR="00541219" w14:paraId="0CDA4B68" w14:textId="77777777">
        <w:trPr>
          <w:trHeight w:val="662"/>
        </w:trPr>
        <w:tc>
          <w:tcPr>
            <w:tcW w:w="5344" w:type="dxa"/>
            <w:tcBorders>
              <w:top w:val="single" w:sz="3" w:space="0" w:color="000000"/>
              <w:left w:val="single" w:sz="3" w:space="0" w:color="000000"/>
              <w:bottom w:val="single" w:sz="3" w:space="0" w:color="000000"/>
              <w:right w:val="single" w:sz="3" w:space="0" w:color="000000"/>
            </w:tcBorders>
            <w:vAlign w:val="center"/>
          </w:tcPr>
          <w:p w14:paraId="1E130EDA" w14:textId="77777777" w:rsidR="00541219" w:rsidRDefault="00000000">
            <w:pPr>
              <w:spacing w:after="0"/>
              <w:ind w:left="0" w:firstLine="0"/>
            </w:pPr>
            <w:r>
              <w:rPr>
                <w:sz w:val="8"/>
              </w:rPr>
              <w:t>88. A qualidade de única detentora das informações do cliente aliada a alguns requisitos de migração que somente a distribuidora pode atender; o fato de o consumidor estar migrando para outro fornecedor e mercado; ou estar migrando para um fornecedor do mesmo grupo econômico; se apresentam como situações em que a distribuidora pode agir de forma que dificulte a migração do seu consumidor para outro fornecedor ou facilite a migração para parte relacionada. Esse é um exemplo de conduta que prejudica a concorrência no mercado livre de energia, podendo existir inúmeras outras.</w:t>
            </w:r>
          </w:p>
        </w:tc>
        <w:tc>
          <w:tcPr>
            <w:tcW w:w="1229" w:type="dxa"/>
            <w:tcBorders>
              <w:top w:val="single" w:sz="3" w:space="0" w:color="000000"/>
              <w:left w:val="single" w:sz="3" w:space="0" w:color="000000"/>
              <w:bottom w:val="single" w:sz="3" w:space="0" w:color="000000"/>
              <w:right w:val="single" w:sz="3" w:space="0" w:color="000000"/>
            </w:tcBorders>
            <w:vAlign w:val="center"/>
          </w:tcPr>
          <w:p w14:paraId="5C2D8DB2"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5AA1D0F6" w14:textId="3867FE31" w:rsidR="00541219" w:rsidRDefault="00000000" w:rsidP="00843CCE">
            <w:pPr>
              <w:spacing w:after="0"/>
              <w:ind w:left="5" w:firstLine="0"/>
              <w:jc w:val="both"/>
            </w:pPr>
            <w:r>
              <w:t>Qualquer modelo concorrencial deve ser implementado, contudo os custos da abertura de mercado não podem recair totalmente no consumidor cativo como ocorre atualmente</w:t>
            </w:r>
            <w:r w:rsidR="00843CCE">
              <w:t>. An</w:t>
            </w:r>
            <w:r>
              <w:t>tes de flexibilizar é necessário que sejam aprovados instrumentos regulatórios para que todos tenham iguais responsabilidades sobre os custos, seja o mercado cativo, seja o mercado livre.</w:t>
            </w:r>
          </w:p>
        </w:tc>
      </w:tr>
      <w:tr w:rsidR="00541219" w14:paraId="5D7DE0A1" w14:textId="77777777">
        <w:trPr>
          <w:trHeight w:val="470"/>
        </w:trPr>
        <w:tc>
          <w:tcPr>
            <w:tcW w:w="5344" w:type="dxa"/>
            <w:tcBorders>
              <w:top w:val="single" w:sz="3" w:space="0" w:color="000000"/>
              <w:left w:val="single" w:sz="3" w:space="0" w:color="000000"/>
              <w:bottom w:val="single" w:sz="3" w:space="0" w:color="000000"/>
              <w:right w:val="single" w:sz="3" w:space="0" w:color="000000"/>
            </w:tcBorders>
          </w:tcPr>
          <w:p w14:paraId="2D8B86AF" w14:textId="77777777" w:rsidR="00541219" w:rsidRDefault="00000000">
            <w:pPr>
              <w:spacing w:after="0"/>
              <w:ind w:left="0" w:firstLine="0"/>
            </w:pPr>
            <w:r>
              <w:rPr>
                <w:sz w:val="8"/>
              </w:rPr>
              <w:t>89. Não obstante, atualmente a Resolução Normativa nº 846, de 2019 (REN 846), que dispõe sobre as diretrizes da fiscalização pela ANEEL fornece o respaldo necessário para a atuação da ANEEL em casos de conduta atentatória da concorrência. As ações de fiscalização podem ser direcionadas a concessionários, permissionários e autorizados de serviços ou instalações de energia elétrica, além das entidades responsáveis pela operação do sistema, pela comercialização de energia elétrica ou pela gestão de recursos provenientes de encargos setoriais. A citada Resolução faz referência a condutas anticoncorrenciais, que são tipificadas como de gravidade máxima, a saber:</w:t>
            </w:r>
          </w:p>
        </w:tc>
        <w:tc>
          <w:tcPr>
            <w:tcW w:w="1229" w:type="dxa"/>
            <w:vMerge w:val="restart"/>
            <w:tcBorders>
              <w:top w:val="single" w:sz="3" w:space="0" w:color="000000"/>
              <w:left w:val="single" w:sz="3" w:space="0" w:color="000000"/>
              <w:bottom w:val="single" w:sz="3" w:space="0" w:color="000000"/>
              <w:right w:val="nil"/>
            </w:tcBorders>
          </w:tcPr>
          <w:p w14:paraId="5CBAC05D" w14:textId="77777777" w:rsidR="00541219" w:rsidRDefault="00541219">
            <w:pPr>
              <w:spacing w:after="160"/>
              <w:ind w:left="0" w:firstLine="0"/>
            </w:pPr>
          </w:p>
        </w:tc>
        <w:tc>
          <w:tcPr>
            <w:tcW w:w="3691" w:type="dxa"/>
            <w:vMerge w:val="restart"/>
            <w:tcBorders>
              <w:top w:val="single" w:sz="3" w:space="0" w:color="000000"/>
              <w:left w:val="nil"/>
              <w:bottom w:val="single" w:sz="3" w:space="0" w:color="000000"/>
              <w:right w:val="nil"/>
            </w:tcBorders>
          </w:tcPr>
          <w:p w14:paraId="037292FF" w14:textId="77777777" w:rsidR="00541219" w:rsidRDefault="00541219">
            <w:pPr>
              <w:spacing w:after="160"/>
              <w:ind w:left="0" w:firstLine="0"/>
            </w:pPr>
          </w:p>
        </w:tc>
      </w:tr>
      <w:tr w:rsidR="00541219" w14:paraId="2B164C2E"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411F6FD5" w14:textId="77777777" w:rsidR="00541219" w:rsidRDefault="00000000">
            <w:pPr>
              <w:spacing w:after="0"/>
              <w:ind w:left="497" w:firstLine="0"/>
            </w:pPr>
            <w:r>
              <w:rPr>
                <w:sz w:val="8"/>
              </w:rPr>
              <w:t xml:space="preserve">     Art. 13. Constitui infração do Grupo V:     (...)</w:t>
            </w:r>
          </w:p>
          <w:p w14:paraId="6E121512" w14:textId="77777777" w:rsidR="00541219" w:rsidRDefault="00000000">
            <w:pPr>
              <w:spacing w:after="0"/>
              <w:ind w:left="497" w:firstLine="0"/>
            </w:pPr>
            <w:r>
              <w:rPr>
                <w:sz w:val="8"/>
              </w:rPr>
              <w:t xml:space="preserve">     XI - praticar conduta que atente contra a concorrência efetiva, o desenvolvimento normal das operações do mercado de energia elétrica ou a ordem econômica; (grifos nossos)</w:t>
            </w:r>
          </w:p>
        </w:tc>
        <w:tc>
          <w:tcPr>
            <w:tcW w:w="0" w:type="auto"/>
            <w:vMerge/>
            <w:tcBorders>
              <w:top w:val="nil"/>
              <w:left w:val="single" w:sz="3" w:space="0" w:color="000000"/>
              <w:bottom w:val="single" w:sz="3" w:space="0" w:color="000000"/>
              <w:right w:val="nil"/>
            </w:tcBorders>
          </w:tcPr>
          <w:p w14:paraId="46BF3372" w14:textId="77777777" w:rsidR="00541219" w:rsidRDefault="00541219">
            <w:pPr>
              <w:spacing w:after="160"/>
              <w:ind w:left="0" w:firstLine="0"/>
            </w:pPr>
          </w:p>
        </w:tc>
        <w:tc>
          <w:tcPr>
            <w:tcW w:w="0" w:type="auto"/>
            <w:vMerge/>
            <w:tcBorders>
              <w:top w:val="nil"/>
              <w:left w:val="nil"/>
              <w:bottom w:val="single" w:sz="3" w:space="0" w:color="000000"/>
              <w:right w:val="nil"/>
            </w:tcBorders>
          </w:tcPr>
          <w:p w14:paraId="30258970" w14:textId="77777777" w:rsidR="00541219" w:rsidRDefault="00541219">
            <w:pPr>
              <w:spacing w:after="160"/>
              <w:ind w:left="0" w:firstLine="0"/>
            </w:pPr>
          </w:p>
        </w:tc>
      </w:tr>
      <w:tr w:rsidR="00541219" w14:paraId="3A53133B" w14:textId="77777777">
        <w:trPr>
          <w:trHeight w:val="470"/>
        </w:trPr>
        <w:tc>
          <w:tcPr>
            <w:tcW w:w="5344" w:type="dxa"/>
            <w:tcBorders>
              <w:top w:val="single" w:sz="3" w:space="0" w:color="000000"/>
              <w:left w:val="single" w:sz="3" w:space="0" w:color="000000"/>
              <w:bottom w:val="single" w:sz="3" w:space="0" w:color="000000"/>
              <w:right w:val="single" w:sz="3" w:space="0" w:color="000000"/>
            </w:tcBorders>
          </w:tcPr>
          <w:p w14:paraId="117546EC" w14:textId="77777777" w:rsidR="00541219" w:rsidRDefault="00000000">
            <w:pPr>
              <w:spacing w:after="0"/>
              <w:ind w:left="0" w:firstLine="0"/>
            </w:pPr>
            <w:r>
              <w:rPr>
                <w:sz w:val="8"/>
              </w:rPr>
              <w:lastRenderedPageBreak/>
              <w:t>90. Ainda assim, o aprimoramento das regras é um processo dinâmico, de forma que em nova regulamentação, a ANEEL poderá estabelecer vedações a condutas anticoncorrenciais mais amplas e também especificamente relacionadas à efetiva custódia dos dados do consumidor para uso exclusivo da concessão, que com a articulação com a ANPD, nos termos da Lei 13.709, de 2018, possam ser compartilhados apenas com expresso consentimento do consumidor, de forma não discriminatória, com amplo e isonômico acesso aos interessados e em benefício da concorrência.</w:t>
            </w:r>
          </w:p>
        </w:tc>
        <w:tc>
          <w:tcPr>
            <w:tcW w:w="1229" w:type="dxa"/>
            <w:tcBorders>
              <w:top w:val="single" w:sz="3" w:space="0" w:color="000000"/>
              <w:left w:val="single" w:sz="3" w:space="0" w:color="000000"/>
              <w:bottom w:val="single" w:sz="3" w:space="0" w:color="000000"/>
              <w:right w:val="single" w:sz="3" w:space="0" w:color="000000"/>
            </w:tcBorders>
            <w:vAlign w:val="center"/>
          </w:tcPr>
          <w:p w14:paraId="5B2E86C7"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vAlign w:val="center"/>
          </w:tcPr>
          <w:p w14:paraId="22F55F3B" w14:textId="77777777" w:rsidR="00541219" w:rsidRDefault="00000000">
            <w:pPr>
              <w:spacing w:after="0"/>
              <w:ind w:left="5" w:firstLine="0"/>
              <w:jc w:val="both"/>
            </w:pPr>
            <w:r>
              <w:t>Qualquer uso de dados, mediante autorização prévia do consumidor, deve privilegiar a modicidade tarifária.</w:t>
            </w:r>
          </w:p>
        </w:tc>
      </w:tr>
      <w:tr w:rsidR="00541219" w14:paraId="08F72433"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20158C23" w14:textId="77777777" w:rsidR="00541219" w:rsidRDefault="00000000">
            <w:pPr>
              <w:spacing w:after="0"/>
              <w:ind w:left="0" w:firstLine="0"/>
            </w:pPr>
            <w:r>
              <w:rPr>
                <w:sz w:val="8"/>
              </w:rPr>
              <w:t>91. Além disso, com a Resolução Normativa no 1.061, de 2023 e a Portaria no 6.811, de 2023, bem como o amparo da Constituição Federal (art. 173, § 4o), das Leis 9.427, de 1996, Lei no 12.529, de 2011, e Lei no 13.848, de 2019; e do Decreto no 2.335, de 1997, a fiscalização avançará nos estudos, monitoramento e fiscalização das práticas de mercado dos agentes do setor de energia elétrica, com foco em análise da concorrência e concentração econômica sobre diferentes situações em que podem ser identificadas condutas anticompetitivas e abuso de poder de mercado.</w:t>
            </w:r>
          </w:p>
        </w:tc>
        <w:tc>
          <w:tcPr>
            <w:tcW w:w="1229" w:type="dxa"/>
            <w:vMerge w:val="restart"/>
            <w:tcBorders>
              <w:top w:val="single" w:sz="3" w:space="0" w:color="000000"/>
              <w:left w:val="single" w:sz="3" w:space="0" w:color="000000"/>
              <w:bottom w:val="single" w:sz="3" w:space="0" w:color="000000"/>
              <w:right w:val="nil"/>
            </w:tcBorders>
          </w:tcPr>
          <w:p w14:paraId="75ADDC0D" w14:textId="77777777" w:rsidR="00541219" w:rsidRDefault="00541219">
            <w:pPr>
              <w:spacing w:after="160"/>
              <w:ind w:left="0" w:firstLine="0"/>
            </w:pPr>
          </w:p>
        </w:tc>
        <w:tc>
          <w:tcPr>
            <w:tcW w:w="3691" w:type="dxa"/>
            <w:vMerge w:val="restart"/>
            <w:tcBorders>
              <w:top w:val="single" w:sz="3" w:space="0" w:color="000000"/>
              <w:left w:val="nil"/>
              <w:bottom w:val="single" w:sz="3" w:space="0" w:color="000000"/>
              <w:right w:val="nil"/>
            </w:tcBorders>
          </w:tcPr>
          <w:p w14:paraId="29DFC78D" w14:textId="77777777" w:rsidR="00541219" w:rsidRDefault="00541219">
            <w:pPr>
              <w:spacing w:after="160"/>
              <w:ind w:left="0" w:firstLine="0"/>
            </w:pPr>
          </w:p>
        </w:tc>
      </w:tr>
      <w:tr w:rsidR="00541219" w14:paraId="0568AEFA"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0C345FF1" w14:textId="77777777" w:rsidR="00541219" w:rsidRDefault="00000000">
            <w:pPr>
              <w:spacing w:after="0"/>
              <w:ind w:left="0" w:right="146" w:firstLine="0"/>
              <w:jc w:val="both"/>
            </w:pPr>
            <w:r>
              <w:rPr>
                <w:sz w:val="8"/>
              </w:rPr>
              <w:t>92. Por exemplo, está em curso o período de contribuições à Tomada de Subsídios no 14, de 2024, que objetiva obter subsídios para a avaliação de possíveis medidas com vistas a aprimorar o arcabouço regulatório, o monitoramento e a fiscalização dos temas que envolvem aspectos concorrenciais no âmbito da comercialização no mercado varejista de energia elétrica.</w:t>
            </w:r>
          </w:p>
        </w:tc>
        <w:tc>
          <w:tcPr>
            <w:tcW w:w="0" w:type="auto"/>
            <w:vMerge/>
            <w:tcBorders>
              <w:top w:val="nil"/>
              <w:left w:val="single" w:sz="3" w:space="0" w:color="000000"/>
              <w:bottom w:val="nil"/>
              <w:right w:val="nil"/>
            </w:tcBorders>
          </w:tcPr>
          <w:p w14:paraId="505168DB" w14:textId="77777777" w:rsidR="00541219" w:rsidRDefault="00541219">
            <w:pPr>
              <w:spacing w:after="160"/>
              <w:ind w:left="0" w:firstLine="0"/>
            </w:pPr>
          </w:p>
        </w:tc>
        <w:tc>
          <w:tcPr>
            <w:tcW w:w="0" w:type="auto"/>
            <w:vMerge/>
            <w:tcBorders>
              <w:top w:val="nil"/>
              <w:left w:val="nil"/>
              <w:bottom w:val="nil"/>
              <w:right w:val="nil"/>
            </w:tcBorders>
          </w:tcPr>
          <w:p w14:paraId="5E307E43" w14:textId="77777777" w:rsidR="00541219" w:rsidRDefault="00541219">
            <w:pPr>
              <w:spacing w:after="160"/>
              <w:ind w:left="0" w:firstLine="0"/>
            </w:pPr>
          </w:p>
        </w:tc>
      </w:tr>
      <w:tr w:rsidR="00541219" w14:paraId="7C3597DD" w14:textId="77777777">
        <w:trPr>
          <w:trHeight w:val="564"/>
        </w:trPr>
        <w:tc>
          <w:tcPr>
            <w:tcW w:w="5344" w:type="dxa"/>
            <w:tcBorders>
              <w:top w:val="single" w:sz="3" w:space="0" w:color="000000"/>
              <w:left w:val="single" w:sz="3" w:space="0" w:color="000000"/>
              <w:bottom w:val="single" w:sz="3" w:space="0" w:color="000000"/>
              <w:right w:val="single" w:sz="3" w:space="0" w:color="000000"/>
            </w:tcBorders>
          </w:tcPr>
          <w:p w14:paraId="1C0D701C" w14:textId="77777777" w:rsidR="00541219" w:rsidRDefault="00000000">
            <w:pPr>
              <w:spacing w:after="0"/>
              <w:ind w:left="0" w:firstLine="0"/>
            </w:pPr>
            <w:r>
              <w:rPr>
                <w:sz w:val="8"/>
              </w:rPr>
              <w:t>93. Condutas anticompetitivas e abuso de poder de mercado também podem ser foco de averiguação no âmbito da Minigeração e Microgeração Distribuída, segmento em que a distribuidora, a exemplo do que ocorre no mercado livre de energia, exerce papel fundamental para a viabilização das etapas necessárias à plena execução dos projetos das instalações de geração. Tratamentos diferenciados de prazos, de atendimento e outros comportamentos por parte da distribuidora, a depender de determinados fatos ou indícios reunidos, envolvendo especialmente, parte relacionada da distribuidora em alguma etapa do processo, podem ser caracterizados como condutas anticompetitivas ou abuso de poder de mercado, devendo ser desencorajados.</w:t>
            </w:r>
          </w:p>
        </w:tc>
        <w:tc>
          <w:tcPr>
            <w:tcW w:w="0" w:type="auto"/>
            <w:vMerge/>
            <w:tcBorders>
              <w:top w:val="nil"/>
              <w:left w:val="single" w:sz="3" w:space="0" w:color="000000"/>
              <w:bottom w:val="nil"/>
              <w:right w:val="nil"/>
            </w:tcBorders>
          </w:tcPr>
          <w:p w14:paraId="4A9299FE" w14:textId="77777777" w:rsidR="00541219" w:rsidRDefault="00541219">
            <w:pPr>
              <w:spacing w:after="160"/>
              <w:ind w:left="0" w:firstLine="0"/>
            </w:pPr>
          </w:p>
        </w:tc>
        <w:tc>
          <w:tcPr>
            <w:tcW w:w="0" w:type="auto"/>
            <w:vMerge/>
            <w:tcBorders>
              <w:top w:val="nil"/>
              <w:left w:val="nil"/>
              <w:bottom w:val="nil"/>
              <w:right w:val="nil"/>
            </w:tcBorders>
          </w:tcPr>
          <w:p w14:paraId="752A8B79" w14:textId="77777777" w:rsidR="00541219" w:rsidRDefault="00541219">
            <w:pPr>
              <w:spacing w:after="160"/>
              <w:ind w:left="0" w:firstLine="0"/>
            </w:pPr>
          </w:p>
        </w:tc>
      </w:tr>
      <w:tr w:rsidR="00541219" w14:paraId="693EC882" w14:textId="77777777">
        <w:trPr>
          <w:trHeight w:val="470"/>
        </w:trPr>
        <w:tc>
          <w:tcPr>
            <w:tcW w:w="5344" w:type="dxa"/>
            <w:tcBorders>
              <w:top w:val="single" w:sz="3" w:space="0" w:color="000000"/>
              <w:left w:val="single" w:sz="3" w:space="0" w:color="000000"/>
              <w:bottom w:val="single" w:sz="3" w:space="0" w:color="000000"/>
              <w:right w:val="single" w:sz="3" w:space="0" w:color="000000"/>
            </w:tcBorders>
          </w:tcPr>
          <w:p w14:paraId="2F1003AE" w14:textId="77777777" w:rsidR="00541219" w:rsidRDefault="00000000">
            <w:pPr>
              <w:spacing w:after="0"/>
              <w:ind w:left="0" w:firstLine="0"/>
            </w:pPr>
            <w:r>
              <w:rPr>
                <w:sz w:val="8"/>
              </w:rPr>
              <w:t>94. Outras situações já mapeadas em que serão investigadas as práticas dos agentes com foco em análise da concorrência são apresentadas na Nota Técnica no 17, SFF/ANEEL, de 8 de fevereiro de 2024, sem a pretensão de exaurir todas as possibilidades de ocorrência de comportamentos anticompetitivos. Não obstante, novos fatos podem ocorrer em situações atualmente inesperadas, o que faz da subcláusula de vedação de condutas anticompetitivas e abuso do poder de mercado prevista no Termo Aditivo Contratual, importante sinalização da disposição de restrição do Poder Concedente neste tema, com a qual a distribuidora deve concordar.</w:t>
            </w:r>
          </w:p>
        </w:tc>
        <w:tc>
          <w:tcPr>
            <w:tcW w:w="0" w:type="auto"/>
            <w:vMerge/>
            <w:tcBorders>
              <w:top w:val="nil"/>
              <w:left w:val="single" w:sz="3" w:space="0" w:color="000000"/>
              <w:bottom w:val="nil"/>
              <w:right w:val="nil"/>
            </w:tcBorders>
          </w:tcPr>
          <w:p w14:paraId="1469F092" w14:textId="77777777" w:rsidR="00541219" w:rsidRDefault="00541219">
            <w:pPr>
              <w:spacing w:after="160"/>
              <w:ind w:left="0" w:firstLine="0"/>
            </w:pPr>
          </w:p>
        </w:tc>
        <w:tc>
          <w:tcPr>
            <w:tcW w:w="0" w:type="auto"/>
            <w:vMerge/>
            <w:tcBorders>
              <w:top w:val="nil"/>
              <w:left w:val="nil"/>
              <w:bottom w:val="nil"/>
              <w:right w:val="nil"/>
            </w:tcBorders>
          </w:tcPr>
          <w:p w14:paraId="3F3EDA05" w14:textId="77777777" w:rsidR="00541219" w:rsidRDefault="00541219">
            <w:pPr>
              <w:spacing w:after="160"/>
              <w:ind w:left="0" w:firstLine="0"/>
            </w:pPr>
          </w:p>
        </w:tc>
      </w:tr>
      <w:tr w:rsidR="00541219" w14:paraId="1D7CA536"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289F0323" w14:textId="77777777" w:rsidR="00541219" w:rsidRDefault="00000000">
            <w:pPr>
              <w:spacing w:after="0"/>
              <w:ind w:left="497" w:firstLine="0"/>
            </w:pPr>
            <w:r>
              <w:rPr>
                <w:sz w:val="8"/>
              </w:rPr>
              <w:t xml:space="preserve">     CLÁUSULA TERCEIRA – OBRIGAÇÕES E ENCARGOS DA DISTRIBUIDORA      (...)</w:t>
            </w:r>
          </w:p>
          <w:p w14:paraId="77481C5F" w14:textId="77777777" w:rsidR="00541219" w:rsidRDefault="00000000">
            <w:pPr>
              <w:spacing w:after="0"/>
              <w:ind w:left="0" w:right="19" w:firstLine="0"/>
              <w:jc w:val="right"/>
            </w:pPr>
            <w:r>
              <w:rPr>
                <w:sz w:val="8"/>
              </w:rPr>
              <w:t xml:space="preserve">     Subcláusula Sexta – É vedado à DISTRIBUIDORA praticar condutas anticoncorrenciais observada a legislação e a regulação da ANEEL:</w:t>
            </w:r>
          </w:p>
        </w:tc>
        <w:tc>
          <w:tcPr>
            <w:tcW w:w="0" w:type="auto"/>
            <w:vMerge/>
            <w:tcBorders>
              <w:top w:val="nil"/>
              <w:left w:val="single" w:sz="3" w:space="0" w:color="000000"/>
              <w:bottom w:val="nil"/>
              <w:right w:val="nil"/>
            </w:tcBorders>
          </w:tcPr>
          <w:p w14:paraId="24754D5E" w14:textId="77777777" w:rsidR="00541219" w:rsidRDefault="00541219">
            <w:pPr>
              <w:spacing w:after="160"/>
              <w:ind w:left="0" w:firstLine="0"/>
            </w:pPr>
          </w:p>
        </w:tc>
        <w:tc>
          <w:tcPr>
            <w:tcW w:w="0" w:type="auto"/>
            <w:vMerge/>
            <w:tcBorders>
              <w:top w:val="nil"/>
              <w:left w:val="nil"/>
              <w:bottom w:val="nil"/>
              <w:right w:val="nil"/>
            </w:tcBorders>
          </w:tcPr>
          <w:p w14:paraId="4325D582" w14:textId="77777777" w:rsidR="00541219" w:rsidRDefault="00541219">
            <w:pPr>
              <w:spacing w:after="160"/>
              <w:ind w:left="0" w:firstLine="0"/>
            </w:pPr>
          </w:p>
        </w:tc>
      </w:tr>
      <w:tr w:rsidR="00541219" w14:paraId="2E3230CC"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51DAB8F2" w14:textId="77777777" w:rsidR="00541219" w:rsidRDefault="00000000">
            <w:pPr>
              <w:spacing w:after="0"/>
              <w:ind w:left="497" w:firstLine="0"/>
            </w:pPr>
            <w:r>
              <w:rPr>
                <w:sz w:val="8"/>
              </w:rPr>
              <w:t xml:space="preserve">          I. na implementação do exercício, pelo usuário em processo de migração, da opção de que tratam o art. 15 e o art. 16 da Lei no </w:t>
            </w:r>
          </w:p>
          <w:p w14:paraId="4EF5FBD2" w14:textId="77777777" w:rsidR="00541219" w:rsidRDefault="00000000">
            <w:pPr>
              <w:spacing w:after="0"/>
              <w:ind w:left="497" w:firstLine="0"/>
            </w:pPr>
            <w:r>
              <w:rPr>
                <w:sz w:val="8"/>
              </w:rPr>
              <w:t>9.074, de 7 de julho de 1995;</w:t>
            </w:r>
          </w:p>
        </w:tc>
        <w:tc>
          <w:tcPr>
            <w:tcW w:w="0" w:type="auto"/>
            <w:vMerge/>
            <w:tcBorders>
              <w:top w:val="nil"/>
              <w:left w:val="single" w:sz="3" w:space="0" w:color="000000"/>
              <w:bottom w:val="nil"/>
              <w:right w:val="nil"/>
            </w:tcBorders>
          </w:tcPr>
          <w:p w14:paraId="4DCA944F" w14:textId="77777777" w:rsidR="00541219" w:rsidRDefault="00541219">
            <w:pPr>
              <w:spacing w:after="160"/>
              <w:ind w:left="0" w:firstLine="0"/>
            </w:pPr>
          </w:p>
        </w:tc>
        <w:tc>
          <w:tcPr>
            <w:tcW w:w="0" w:type="auto"/>
            <w:vMerge/>
            <w:tcBorders>
              <w:top w:val="nil"/>
              <w:left w:val="nil"/>
              <w:bottom w:val="nil"/>
              <w:right w:val="nil"/>
            </w:tcBorders>
          </w:tcPr>
          <w:p w14:paraId="6FA87F8D" w14:textId="77777777" w:rsidR="00541219" w:rsidRDefault="00541219">
            <w:pPr>
              <w:spacing w:after="160"/>
              <w:ind w:left="0" w:firstLine="0"/>
            </w:pPr>
          </w:p>
        </w:tc>
      </w:tr>
      <w:tr w:rsidR="00541219" w14:paraId="47B5EC36"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5686BD3A" w14:textId="77777777" w:rsidR="00541219" w:rsidRDefault="00000000">
            <w:pPr>
              <w:spacing w:after="0"/>
              <w:ind w:left="497" w:firstLine="0"/>
            </w:pPr>
            <w:r>
              <w:rPr>
                <w:sz w:val="8"/>
              </w:rPr>
              <w:t xml:space="preserve">          II. em relação à custódia de dados, observado o disposto na Subcláusula Quinta;</w:t>
            </w:r>
          </w:p>
        </w:tc>
        <w:tc>
          <w:tcPr>
            <w:tcW w:w="0" w:type="auto"/>
            <w:vMerge/>
            <w:tcBorders>
              <w:top w:val="nil"/>
              <w:left w:val="single" w:sz="3" w:space="0" w:color="000000"/>
              <w:bottom w:val="nil"/>
              <w:right w:val="nil"/>
            </w:tcBorders>
          </w:tcPr>
          <w:p w14:paraId="0A163FFA" w14:textId="77777777" w:rsidR="00541219" w:rsidRDefault="00541219">
            <w:pPr>
              <w:spacing w:after="160"/>
              <w:ind w:left="0" w:firstLine="0"/>
            </w:pPr>
          </w:p>
        </w:tc>
        <w:tc>
          <w:tcPr>
            <w:tcW w:w="0" w:type="auto"/>
            <w:vMerge/>
            <w:tcBorders>
              <w:top w:val="nil"/>
              <w:left w:val="nil"/>
              <w:bottom w:val="nil"/>
              <w:right w:val="nil"/>
            </w:tcBorders>
          </w:tcPr>
          <w:p w14:paraId="12A10E7F" w14:textId="77777777" w:rsidR="00541219" w:rsidRDefault="00541219">
            <w:pPr>
              <w:spacing w:after="160"/>
              <w:ind w:left="0" w:firstLine="0"/>
            </w:pPr>
          </w:p>
        </w:tc>
      </w:tr>
      <w:tr w:rsidR="00541219" w14:paraId="3E4542DE"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2933B7CC" w14:textId="77777777" w:rsidR="00541219" w:rsidRDefault="00000000">
            <w:pPr>
              <w:spacing w:after="0"/>
              <w:ind w:left="497" w:firstLine="0"/>
            </w:pPr>
            <w:r>
              <w:rPr>
                <w:sz w:val="8"/>
              </w:rPr>
              <w:t xml:space="preserve">          </w:t>
            </w:r>
            <w:proofErr w:type="spellStart"/>
            <w:r>
              <w:rPr>
                <w:sz w:val="8"/>
              </w:rPr>
              <w:t>III.em</w:t>
            </w:r>
            <w:proofErr w:type="spellEnd"/>
            <w:r>
              <w:rPr>
                <w:sz w:val="8"/>
              </w:rPr>
              <w:t xml:space="preserve"> qualquer outra situação cuja conduta seja caracterizada como anticompetitiva ou abuso de poder de mercado, nos termos da legislação e da regulação da ANEEL, inclusive quando envolver partes relacionadas</w:t>
            </w:r>
          </w:p>
        </w:tc>
        <w:tc>
          <w:tcPr>
            <w:tcW w:w="0" w:type="auto"/>
            <w:vMerge/>
            <w:tcBorders>
              <w:top w:val="nil"/>
              <w:left w:val="single" w:sz="3" w:space="0" w:color="000000"/>
              <w:bottom w:val="nil"/>
              <w:right w:val="nil"/>
            </w:tcBorders>
          </w:tcPr>
          <w:p w14:paraId="401EE154" w14:textId="77777777" w:rsidR="00541219" w:rsidRDefault="00541219">
            <w:pPr>
              <w:spacing w:after="160"/>
              <w:ind w:left="0" w:firstLine="0"/>
            </w:pPr>
          </w:p>
        </w:tc>
        <w:tc>
          <w:tcPr>
            <w:tcW w:w="0" w:type="auto"/>
            <w:vMerge/>
            <w:tcBorders>
              <w:top w:val="nil"/>
              <w:left w:val="nil"/>
              <w:bottom w:val="nil"/>
              <w:right w:val="nil"/>
            </w:tcBorders>
          </w:tcPr>
          <w:p w14:paraId="7BB733A5" w14:textId="77777777" w:rsidR="00541219" w:rsidRDefault="00541219">
            <w:pPr>
              <w:spacing w:after="160"/>
              <w:ind w:left="0" w:firstLine="0"/>
            </w:pPr>
          </w:p>
        </w:tc>
      </w:tr>
      <w:tr w:rsidR="00541219" w14:paraId="224071CD"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0223174B" w14:textId="77777777" w:rsidR="00541219" w:rsidRDefault="00000000">
            <w:pPr>
              <w:spacing w:after="0"/>
              <w:ind w:left="497" w:firstLine="0"/>
            </w:pPr>
            <w:r>
              <w:rPr>
                <w:sz w:val="8"/>
              </w:rPr>
              <w:t xml:space="preserve">     Parágrafo Único. A ANEEL poderá estabelecer, com vistas a propiciar concorrência efetiva entre os agentes e a impedir a concentração econômica nos serviços e atividades de energia elétrica, restrições, limites ou condições para a Distribuidora e suas partes relacionadas, quanto à realização de negócios entre si ou quanto ao desenvolvimento de outras atividades na mesma área de concessão.</w:t>
            </w:r>
          </w:p>
        </w:tc>
        <w:tc>
          <w:tcPr>
            <w:tcW w:w="0" w:type="auto"/>
            <w:vMerge/>
            <w:tcBorders>
              <w:top w:val="nil"/>
              <w:left w:val="single" w:sz="3" w:space="0" w:color="000000"/>
              <w:bottom w:val="nil"/>
              <w:right w:val="nil"/>
            </w:tcBorders>
          </w:tcPr>
          <w:p w14:paraId="17414727" w14:textId="77777777" w:rsidR="00541219" w:rsidRDefault="00541219">
            <w:pPr>
              <w:spacing w:after="160"/>
              <w:ind w:left="0" w:firstLine="0"/>
            </w:pPr>
          </w:p>
        </w:tc>
        <w:tc>
          <w:tcPr>
            <w:tcW w:w="0" w:type="auto"/>
            <w:vMerge/>
            <w:tcBorders>
              <w:top w:val="nil"/>
              <w:left w:val="nil"/>
              <w:bottom w:val="nil"/>
              <w:right w:val="nil"/>
            </w:tcBorders>
          </w:tcPr>
          <w:p w14:paraId="3E5371C5" w14:textId="77777777" w:rsidR="00541219" w:rsidRDefault="00541219">
            <w:pPr>
              <w:spacing w:after="160"/>
              <w:ind w:left="0" w:firstLine="0"/>
            </w:pPr>
          </w:p>
        </w:tc>
      </w:tr>
      <w:tr w:rsidR="00541219" w14:paraId="60C73A2C"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1D5A9A25" w14:textId="77777777" w:rsidR="00541219" w:rsidRDefault="00000000">
            <w:pPr>
              <w:spacing w:after="0"/>
              <w:ind w:left="0" w:firstLine="0"/>
            </w:pPr>
            <w:r>
              <w:rPr>
                <w:sz w:val="8"/>
              </w:rPr>
              <w:t>95. A proposição do Parágrafo Único se justifica pelo fato de que a existência de um mesmo grupo econômico que possui empresas concessionárias de distribuição e autorizadas de comercialização que atuam na mesma área de concessão pode facilitar o comportamento anticompetitivo.</w:t>
            </w:r>
          </w:p>
        </w:tc>
        <w:tc>
          <w:tcPr>
            <w:tcW w:w="0" w:type="auto"/>
            <w:vMerge/>
            <w:tcBorders>
              <w:top w:val="nil"/>
              <w:left w:val="single" w:sz="3" w:space="0" w:color="000000"/>
              <w:bottom w:val="nil"/>
              <w:right w:val="nil"/>
            </w:tcBorders>
          </w:tcPr>
          <w:p w14:paraId="37D83AA9" w14:textId="77777777" w:rsidR="00541219" w:rsidRDefault="00541219">
            <w:pPr>
              <w:spacing w:after="160"/>
              <w:ind w:left="0" w:firstLine="0"/>
            </w:pPr>
          </w:p>
        </w:tc>
        <w:tc>
          <w:tcPr>
            <w:tcW w:w="0" w:type="auto"/>
            <w:vMerge/>
            <w:tcBorders>
              <w:top w:val="nil"/>
              <w:left w:val="nil"/>
              <w:bottom w:val="nil"/>
              <w:right w:val="nil"/>
            </w:tcBorders>
          </w:tcPr>
          <w:p w14:paraId="7D4F283A" w14:textId="77777777" w:rsidR="00541219" w:rsidRDefault="00541219">
            <w:pPr>
              <w:spacing w:after="160"/>
              <w:ind w:left="0" w:firstLine="0"/>
            </w:pPr>
          </w:p>
        </w:tc>
      </w:tr>
      <w:tr w:rsidR="00541219" w14:paraId="799BA379"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560F82A0" w14:textId="77777777" w:rsidR="00541219" w:rsidRDefault="00000000">
            <w:pPr>
              <w:spacing w:after="0"/>
              <w:ind w:left="0" w:firstLine="0"/>
              <w:jc w:val="both"/>
            </w:pPr>
            <w:r>
              <w:rPr>
                <w:sz w:val="8"/>
              </w:rPr>
              <w:t>96. Ainda que se intensifique o monitoramento e a fiscalização, em função da existência de informação assimétrica e incentivos econômicos, há risco de que os agentes pratiquem condutas anticoncorrenciais ou cometam abuso de poder econômico.</w:t>
            </w:r>
          </w:p>
        </w:tc>
        <w:tc>
          <w:tcPr>
            <w:tcW w:w="0" w:type="auto"/>
            <w:vMerge/>
            <w:tcBorders>
              <w:top w:val="nil"/>
              <w:left w:val="single" w:sz="3" w:space="0" w:color="000000"/>
              <w:bottom w:val="nil"/>
              <w:right w:val="nil"/>
            </w:tcBorders>
          </w:tcPr>
          <w:p w14:paraId="2C130965" w14:textId="77777777" w:rsidR="00541219" w:rsidRDefault="00541219">
            <w:pPr>
              <w:spacing w:after="160"/>
              <w:ind w:left="0" w:firstLine="0"/>
            </w:pPr>
          </w:p>
        </w:tc>
        <w:tc>
          <w:tcPr>
            <w:tcW w:w="0" w:type="auto"/>
            <w:vMerge/>
            <w:tcBorders>
              <w:top w:val="nil"/>
              <w:left w:val="nil"/>
              <w:bottom w:val="nil"/>
              <w:right w:val="nil"/>
            </w:tcBorders>
          </w:tcPr>
          <w:p w14:paraId="715C364A" w14:textId="77777777" w:rsidR="00541219" w:rsidRDefault="00541219">
            <w:pPr>
              <w:spacing w:after="160"/>
              <w:ind w:left="0" w:firstLine="0"/>
            </w:pPr>
          </w:p>
        </w:tc>
      </w:tr>
      <w:tr w:rsidR="00541219" w14:paraId="24AFB5D6" w14:textId="77777777">
        <w:trPr>
          <w:trHeight w:val="470"/>
        </w:trPr>
        <w:tc>
          <w:tcPr>
            <w:tcW w:w="5344" w:type="dxa"/>
            <w:tcBorders>
              <w:top w:val="single" w:sz="3" w:space="0" w:color="000000"/>
              <w:left w:val="single" w:sz="3" w:space="0" w:color="000000"/>
              <w:bottom w:val="single" w:sz="3" w:space="0" w:color="000000"/>
              <w:right w:val="single" w:sz="3" w:space="0" w:color="000000"/>
            </w:tcBorders>
          </w:tcPr>
          <w:p w14:paraId="62DB5D0E" w14:textId="77777777" w:rsidR="00541219" w:rsidRDefault="00000000">
            <w:pPr>
              <w:spacing w:after="0"/>
              <w:ind w:left="0" w:firstLine="0"/>
            </w:pPr>
            <w:r>
              <w:rPr>
                <w:sz w:val="8"/>
              </w:rPr>
              <w:t>97. Contudo, de acordo com as competências dispostas na Lei no 9.427, de 1996, a ANEEL deve zelar pelo cumprimento da legislação de defesa da concorrência, monitorando e acompanhando as práticas de mercado dos agentes do setor de energia elétrica. Além disso a ANEEL poderá estabelecer em regulamento, com vistas a propiciar concorrência efetiva entre os agentes e a impedir a concentração econômica nos serviços e atividades de energia elétrica, restrições, limites ou condições para empresas, grupos empresariais e acionistas, quanto à obtenção e transferência de concessões, permissões e autorizações, à concentração societária e à realização de negócios entre si.</w:t>
            </w:r>
          </w:p>
        </w:tc>
        <w:tc>
          <w:tcPr>
            <w:tcW w:w="0" w:type="auto"/>
            <w:vMerge/>
            <w:tcBorders>
              <w:top w:val="nil"/>
              <w:left w:val="single" w:sz="3" w:space="0" w:color="000000"/>
              <w:bottom w:val="nil"/>
              <w:right w:val="nil"/>
            </w:tcBorders>
          </w:tcPr>
          <w:p w14:paraId="148DC4EB" w14:textId="77777777" w:rsidR="00541219" w:rsidRDefault="00541219">
            <w:pPr>
              <w:spacing w:after="160"/>
              <w:ind w:left="0" w:firstLine="0"/>
            </w:pPr>
          </w:p>
        </w:tc>
        <w:tc>
          <w:tcPr>
            <w:tcW w:w="0" w:type="auto"/>
            <w:vMerge/>
            <w:tcBorders>
              <w:top w:val="nil"/>
              <w:left w:val="nil"/>
              <w:bottom w:val="nil"/>
              <w:right w:val="nil"/>
            </w:tcBorders>
          </w:tcPr>
          <w:p w14:paraId="1DC83541" w14:textId="77777777" w:rsidR="00541219" w:rsidRDefault="00541219">
            <w:pPr>
              <w:spacing w:after="160"/>
              <w:ind w:left="0" w:firstLine="0"/>
            </w:pPr>
          </w:p>
        </w:tc>
      </w:tr>
      <w:tr w:rsidR="00541219" w14:paraId="063604EE"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03DFA791" w14:textId="77777777" w:rsidR="00541219" w:rsidRDefault="00000000">
            <w:pPr>
              <w:spacing w:after="0"/>
              <w:ind w:left="0" w:right="131" w:firstLine="0"/>
              <w:jc w:val="both"/>
            </w:pPr>
            <w:r>
              <w:rPr>
                <w:sz w:val="8"/>
              </w:rPr>
              <w:t>98. Sendo assim, uma opção para inibir ou impedir práticas indesejadas sob o ponto de vista concorrencial, seria de que a observância, pelo Grupo Econômico controlador da DISTRIBUIDORA, com os termos dispostos em aditivo contratual representasse a aceitação de restrições, limites ou condições definidas em regulamento da ANEEL, quanto à atividade de comercialização na mesma área de concessão, por exemplo, em observância ao disposto na legislação aplicável.</w:t>
            </w:r>
          </w:p>
        </w:tc>
        <w:tc>
          <w:tcPr>
            <w:tcW w:w="0" w:type="auto"/>
            <w:vMerge/>
            <w:tcBorders>
              <w:top w:val="nil"/>
              <w:left w:val="single" w:sz="3" w:space="0" w:color="000000"/>
              <w:bottom w:val="nil"/>
              <w:right w:val="nil"/>
            </w:tcBorders>
          </w:tcPr>
          <w:p w14:paraId="362C0A77" w14:textId="77777777" w:rsidR="00541219" w:rsidRDefault="00541219">
            <w:pPr>
              <w:spacing w:after="160"/>
              <w:ind w:left="0" w:firstLine="0"/>
            </w:pPr>
          </w:p>
        </w:tc>
        <w:tc>
          <w:tcPr>
            <w:tcW w:w="0" w:type="auto"/>
            <w:vMerge/>
            <w:tcBorders>
              <w:top w:val="nil"/>
              <w:left w:val="nil"/>
              <w:bottom w:val="nil"/>
              <w:right w:val="nil"/>
            </w:tcBorders>
          </w:tcPr>
          <w:p w14:paraId="529A5830" w14:textId="77777777" w:rsidR="00541219" w:rsidRDefault="00541219">
            <w:pPr>
              <w:spacing w:after="160"/>
              <w:ind w:left="0" w:firstLine="0"/>
            </w:pPr>
          </w:p>
        </w:tc>
      </w:tr>
      <w:tr w:rsidR="00541219" w14:paraId="33F10EC8"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6167C99E" w14:textId="77777777" w:rsidR="00541219" w:rsidRDefault="00000000">
            <w:pPr>
              <w:spacing w:after="0"/>
              <w:ind w:left="0" w:right="158" w:firstLine="0"/>
              <w:jc w:val="both"/>
            </w:pPr>
            <w:r>
              <w:rPr>
                <w:sz w:val="8"/>
              </w:rPr>
              <w:t>99. Tais restrições, limites ou condições poderiam variar, podendo ser obrigação de redução de mercado atendido, suspensão da outorga por prazo determinado, dentre outras, inclusive obtenção dos controladores da distribuidora de manifestação de opção sobre qual das atividades na mesma área de concessão deseja exercer, renunciando à outra.</w:t>
            </w:r>
          </w:p>
        </w:tc>
        <w:tc>
          <w:tcPr>
            <w:tcW w:w="0" w:type="auto"/>
            <w:vMerge/>
            <w:tcBorders>
              <w:top w:val="nil"/>
              <w:left w:val="single" w:sz="3" w:space="0" w:color="000000"/>
              <w:bottom w:val="nil"/>
              <w:right w:val="nil"/>
            </w:tcBorders>
          </w:tcPr>
          <w:p w14:paraId="65AEA436" w14:textId="77777777" w:rsidR="00541219" w:rsidRDefault="00541219">
            <w:pPr>
              <w:spacing w:after="160"/>
              <w:ind w:left="0" w:firstLine="0"/>
            </w:pPr>
          </w:p>
        </w:tc>
        <w:tc>
          <w:tcPr>
            <w:tcW w:w="0" w:type="auto"/>
            <w:vMerge/>
            <w:tcBorders>
              <w:top w:val="nil"/>
              <w:left w:val="nil"/>
              <w:bottom w:val="nil"/>
              <w:right w:val="nil"/>
            </w:tcBorders>
          </w:tcPr>
          <w:p w14:paraId="77DEA872" w14:textId="77777777" w:rsidR="00541219" w:rsidRDefault="00541219">
            <w:pPr>
              <w:spacing w:after="160"/>
              <w:ind w:left="0" w:firstLine="0"/>
            </w:pPr>
          </w:p>
        </w:tc>
      </w:tr>
      <w:tr w:rsidR="00541219" w14:paraId="40BDCBD5" w14:textId="77777777">
        <w:trPr>
          <w:trHeight w:val="234"/>
        </w:trPr>
        <w:tc>
          <w:tcPr>
            <w:tcW w:w="5344" w:type="dxa"/>
            <w:tcBorders>
              <w:top w:val="single" w:sz="3" w:space="0" w:color="000000"/>
              <w:left w:val="single" w:sz="3" w:space="0" w:color="000000"/>
              <w:bottom w:val="double" w:sz="3" w:space="0" w:color="000000"/>
              <w:right w:val="single" w:sz="3" w:space="0" w:color="000000"/>
            </w:tcBorders>
          </w:tcPr>
          <w:p w14:paraId="41D0E1C0" w14:textId="77777777" w:rsidR="00541219" w:rsidRDefault="00000000">
            <w:pPr>
              <w:spacing w:after="0"/>
              <w:ind w:left="0" w:firstLine="0"/>
            </w:pPr>
            <w:r>
              <w:rPr>
                <w:sz w:val="8"/>
              </w:rPr>
              <w:t>100. A oportunidade para a discussão da possibilidade de inserção de cláusula nesse sentido no Termo Aditivo Contratual se apresenta na Consulta Pública recomendada por esta Nota Técnica, por meio da qual a sociedade poderá enviar suas contribuições.</w:t>
            </w:r>
          </w:p>
        </w:tc>
        <w:tc>
          <w:tcPr>
            <w:tcW w:w="0" w:type="auto"/>
            <w:vMerge/>
            <w:tcBorders>
              <w:top w:val="nil"/>
              <w:left w:val="single" w:sz="3" w:space="0" w:color="000000"/>
              <w:bottom w:val="nil"/>
              <w:right w:val="nil"/>
            </w:tcBorders>
          </w:tcPr>
          <w:p w14:paraId="05716D74" w14:textId="77777777" w:rsidR="00541219" w:rsidRDefault="00541219">
            <w:pPr>
              <w:spacing w:after="160"/>
              <w:ind w:left="0" w:firstLine="0"/>
            </w:pPr>
          </w:p>
        </w:tc>
        <w:tc>
          <w:tcPr>
            <w:tcW w:w="0" w:type="auto"/>
            <w:vMerge/>
            <w:tcBorders>
              <w:top w:val="nil"/>
              <w:left w:val="nil"/>
              <w:bottom w:val="nil"/>
              <w:right w:val="nil"/>
            </w:tcBorders>
          </w:tcPr>
          <w:p w14:paraId="6B80A16D" w14:textId="77777777" w:rsidR="00541219" w:rsidRDefault="00541219">
            <w:pPr>
              <w:spacing w:after="160"/>
              <w:ind w:left="0" w:firstLine="0"/>
            </w:pPr>
          </w:p>
        </w:tc>
      </w:tr>
      <w:tr w:rsidR="00541219" w14:paraId="71684626" w14:textId="77777777">
        <w:trPr>
          <w:trHeight w:val="140"/>
        </w:trPr>
        <w:tc>
          <w:tcPr>
            <w:tcW w:w="5344" w:type="dxa"/>
            <w:tcBorders>
              <w:top w:val="double" w:sz="3" w:space="0" w:color="000000"/>
              <w:left w:val="single" w:sz="3" w:space="0" w:color="000000"/>
              <w:bottom w:val="single" w:sz="3" w:space="0" w:color="000000"/>
              <w:right w:val="single" w:sz="3" w:space="0" w:color="000000"/>
            </w:tcBorders>
          </w:tcPr>
          <w:p w14:paraId="4C418052" w14:textId="77777777" w:rsidR="00541219" w:rsidRDefault="00000000">
            <w:pPr>
              <w:spacing w:after="0"/>
              <w:ind w:left="0" w:right="2362" w:firstLine="0"/>
              <w:jc w:val="both"/>
            </w:pPr>
            <w:r>
              <w:rPr>
                <w:sz w:val="8"/>
              </w:rPr>
              <w:t>III.1.2.7 – Utilização do IPCA como indexador para o Reajuste Tarifário Anual 101. O Decreto também estabelece no inciso XIV do artigo 4 que:</w:t>
            </w:r>
          </w:p>
        </w:tc>
        <w:tc>
          <w:tcPr>
            <w:tcW w:w="0" w:type="auto"/>
            <w:vMerge/>
            <w:tcBorders>
              <w:top w:val="nil"/>
              <w:left w:val="single" w:sz="3" w:space="0" w:color="000000"/>
              <w:bottom w:val="single" w:sz="3" w:space="0" w:color="000000"/>
              <w:right w:val="nil"/>
            </w:tcBorders>
          </w:tcPr>
          <w:p w14:paraId="07E4B0BF" w14:textId="77777777" w:rsidR="00541219" w:rsidRDefault="00541219">
            <w:pPr>
              <w:spacing w:after="160"/>
              <w:ind w:left="0" w:firstLine="0"/>
            </w:pPr>
          </w:p>
        </w:tc>
        <w:tc>
          <w:tcPr>
            <w:tcW w:w="0" w:type="auto"/>
            <w:vMerge/>
            <w:tcBorders>
              <w:top w:val="nil"/>
              <w:left w:val="nil"/>
              <w:bottom w:val="single" w:sz="3" w:space="0" w:color="000000"/>
              <w:right w:val="nil"/>
            </w:tcBorders>
          </w:tcPr>
          <w:p w14:paraId="6B5D3287" w14:textId="77777777" w:rsidR="00541219" w:rsidRDefault="00541219">
            <w:pPr>
              <w:spacing w:after="160"/>
              <w:ind w:left="0" w:firstLine="0"/>
            </w:pPr>
          </w:p>
        </w:tc>
      </w:tr>
      <w:tr w:rsidR="00541219" w14:paraId="35D47CE0" w14:textId="77777777">
        <w:trPr>
          <w:trHeight w:val="2448"/>
        </w:trPr>
        <w:tc>
          <w:tcPr>
            <w:tcW w:w="5344" w:type="dxa"/>
            <w:tcBorders>
              <w:top w:val="single" w:sz="3" w:space="0" w:color="000000"/>
              <w:left w:val="single" w:sz="3" w:space="0" w:color="000000"/>
              <w:bottom w:val="single" w:sz="3" w:space="0" w:color="000000"/>
              <w:right w:val="single" w:sz="3" w:space="0" w:color="000000"/>
            </w:tcBorders>
            <w:vAlign w:val="center"/>
          </w:tcPr>
          <w:p w14:paraId="4858093B" w14:textId="77777777" w:rsidR="00541219" w:rsidRDefault="00000000">
            <w:pPr>
              <w:spacing w:after="0"/>
              <w:ind w:left="0" w:right="47" w:firstLine="0"/>
              <w:jc w:val="right"/>
            </w:pPr>
            <w:r>
              <w:rPr>
                <w:sz w:val="8"/>
              </w:rPr>
              <w:t xml:space="preserve">     seja utilizado, a partir do primeiro mês de vigência dos termos aditivos aos contratos, o Índice Nacional de Preços ao Consumidor Amplo </w:t>
            </w:r>
          </w:p>
          <w:p w14:paraId="7466E5C9" w14:textId="77777777" w:rsidR="00541219" w:rsidRDefault="00000000">
            <w:pPr>
              <w:spacing w:after="0"/>
              <w:ind w:left="497" w:firstLine="0"/>
            </w:pPr>
            <w:r>
              <w:rPr>
                <w:sz w:val="8"/>
              </w:rPr>
              <w:t>– IPCA como indexador para o Reajuste Tarifário Anual, ou outro índice que venha a substituí-lo;</w:t>
            </w:r>
          </w:p>
        </w:tc>
        <w:tc>
          <w:tcPr>
            <w:tcW w:w="1229" w:type="dxa"/>
            <w:tcBorders>
              <w:top w:val="single" w:sz="3" w:space="0" w:color="000000"/>
              <w:left w:val="single" w:sz="3" w:space="0" w:color="000000"/>
              <w:bottom w:val="single" w:sz="3" w:space="0" w:color="000000"/>
              <w:right w:val="single" w:sz="3" w:space="0" w:color="000000"/>
            </w:tcBorders>
            <w:vAlign w:val="center"/>
          </w:tcPr>
          <w:p w14:paraId="2A8A498E"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7AB98E19" w14:textId="0DF8C49B" w:rsidR="00541219" w:rsidRDefault="00000000" w:rsidP="00843CCE">
            <w:pPr>
              <w:spacing w:after="0"/>
              <w:ind w:left="5" w:firstLine="0"/>
              <w:jc w:val="both"/>
            </w:pPr>
            <w:r>
              <w:t>Altamente necessário, visto que no passado recente consumidores da Energisa Mato Grosso do Sul sofreram com aumentos muito superiores à inflação, por constar no contrato o uso do IGPM. Também importante considerar a constatação de que os custos operacionais e de capital da distribuidora foram menores que as correções pelo IGPM. Abaixo comparativo entre o IGPM, constante dos contratos atuais e o IPCA proposto, que é muito mais aderente à realidade.</w:t>
            </w:r>
          </w:p>
          <w:p w14:paraId="3B8D4673" w14:textId="77777777" w:rsidR="00541219" w:rsidRDefault="00000000">
            <w:pPr>
              <w:spacing w:after="0"/>
              <w:ind w:left="217" w:firstLine="0"/>
            </w:pPr>
            <w:r>
              <w:rPr>
                <w:noProof/>
              </w:rPr>
              <w:drawing>
                <wp:inline distT="0" distB="0" distL="0" distR="0" wp14:anchorId="187B3E8A" wp14:editId="4B1AF758">
                  <wp:extent cx="1743456" cy="1048512"/>
                  <wp:effectExtent l="0" t="0" r="0" b="0"/>
                  <wp:docPr id="1872" name="Picture 1872"/>
                  <wp:cNvGraphicFramePr/>
                  <a:graphic xmlns:a="http://schemas.openxmlformats.org/drawingml/2006/main">
                    <a:graphicData uri="http://schemas.openxmlformats.org/drawingml/2006/picture">
                      <pic:pic xmlns:pic="http://schemas.openxmlformats.org/drawingml/2006/picture">
                        <pic:nvPicPr>
                          <pic:cNvPr id="1872" name="Picture 1872"/>
                          <pic:cNvPicPr/>
                        </pic:nvPicPr>
                        <pic:blipFill>
                          <a:blip r:embed="rId8"/>
                          <a:stretch>
                            <a:fillRect/>
                          </a:stretch>
                        </pic:blipFill>
                        <pic:spPr>
                          <a:xfrm>
                            <a:off x="0" y="0"/>
                            <a:ext cx="1743456" cy="1048512"/>
                          </a:xfrm>
                          <a:prstGeom prst="rect">
                            <a:avLst/>
                          </a:prstGeom>
                        </pic:spPr>
                      </pic:pic>
                    </a:graphicData>
                  </a:graphic>
                </wp:inline>
              </w:drawing>
            </w:r>
          </w:p>
        </w:tc>
      </w:tr>
      <w:tr w:rsidR="00541219" w14:paraId="248D0B70"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33C761B6" w14:textId="77777777" w:rsidR="00541219" w:rsidRDefault="00000000">
            <w:pPr>
              <w:spacing w:after="0"/>
              <w:ind w:left="0" w:right="7" w:firstLine="0"/>
            </w:pPr>
            <w:r>
              <w:rPr>
                <w:sz w:val="8"/>
              </w:rPr>
              <w:t>102. Dessa maneira sugere-se a adição de parágrafo à Subcláusula Sexta da Cláusula Sexta replicando tal comando no contrato. Isso exigirá tratamento diferenciado no primeiro processo tarifário pós assinatura com parte anterior ao termo aditivo sendo corrigida pelo IGPM e parte posterior sendo corrigida pelo IPCA.</w:t>
            </w:r>
          </w:p>
        </w:tc>
        <w:tc>
          <w:tcPr>
            <w:tcW w:w="4920" w:type="dxa"/>
            <w:gridSpan w:val="2"/>
            <w:vMerge w:val="restart"/>
            <w:tcBorders>
              <w:top w:val="single" w:sz="3" w:space="0" w:color="000000"/>
              <w:left w:val="single" w:sz="3" w:space="0" w:color="000000"/>
              <w:bottom w:val="nil"/>
              <w:right w:val="nil"/>
            </w:tcBorders>
          </w:tcPr>
          <w:p w14:paraId="02FC4FC6" w14:textId="77777777" w:rsidR="00541219" w:rsidRDefault="00541219">
            <w:pPr>
              <w:spacing w:after="160"/>
              <w:ind w:left="0" w:firstLine="0"/>
            </w:pPr>
          </w:p>
        </w:tc>
      </w:tr>
      <w:tr w:rsidR="00541219" w14:paraId="50EAECB8" w14:textId="77777777">
        <w:trPr>
          <w:trHeight w:val="338"/>
        </w:trPr>
        <w:tc>
          <w:tcPr>
            <w:tcW w:w="5344" w:type="dxa"/>
            <w:tcBorders>
              <w:top w:val="single" w:sz="3" w:space="0" w:color="000000"/>
              <w:left w:val="single" w:sz="3" w:space="0" w:color="000000"/>
              <w:bottom w:val="double" w:sz="3" w:space="0" w:color="000000"/>
              <w:right w:val="single" w:sz="3" w:space="0" w:color="000000"/>
            </w:tcBorders>
          </w:tcPr>
          <w:p w14:paraId="51FC9D7B" w14:textId="77777777" w:rsidR="00541219" w:rsidRDefault="00000000">
            <w:pPr>
              <w:spacing w:after="0"/>
              <w:ind w:left="497" w:firstLine="0"/>
            </w:pPr>
            <w:r>
              <w:rPr>
                <w:sz w:val="8"/>
              </w:rPr>
              <w:t>Subcláusula Sexta – Nos reajustes tarifários anuais a Receita Requerida será calculada pela seguinte equação: (...)</w:t>
            </w:r>
          </w:p>
          <w:p w14:paraId="633267B3" w14:textId="77777777" w:rsidR="00541219" w:rsidRDefault="00000000">
            <w:pPr>
              <w:spacing w:after="0"/>
              <w:ind w:left="497" w:firstLine="0"/>
            </w:pPr>
            <w:r>
              <w:rPr>
                <w:sz w:val="8"/>
              </w:rPr>
              <w:t>Parágrafo único - a partir do primeiro mês de vigência deste termo aditivo ao contrato de concessão, será utilizado o IPCA como indexador para o Reajuste Tarifário Anual, ou outro índice que venha a substituí-lo</w:t>
            </w:r>
          </w:p>
        </w:tc>
        <w:tc>
          <w:tcPr>
            <w:tcW w:w="0" w:type="auto"/>
            <w:gridSpan w:val="2"/>
            <w:vMerge/>
            <w:tcBorders>
              <w:top w:val="nil"/>
              <w:left w:val="single" w:sz="3" w:space="0" w:color="000000"/>
              <w:bottom w:val="nil"/>
              <w:right w:val="nil"/>
            </w:tcBorders>
          </w:tcPr>
          <w:p w14:paraId="1FC12D13" w14:textId="77777777" w:rsidR="00541219" w:rsidRDefault="00541219">
            <w:pPr>
              <w:spacing w:after="160"/>
              <w:ind w:left="0" w:firstLine="0"/>
            </w:pPr>
          </w:p>
        </w:tc>
      </w:tr>
      <w:tr w:rsidR="00541219" w14:paraId="30960C0D" w14:textId="77777777">
        <w:trPr>
          <w:trHeight w:val="338"/>
        </w:trPr>
        <w:tc>
          <w:tcPr>
            <w:tcW w:w="5344" w:type="dxa"/>
            <w:tcBorders>
              <w:top w:val="double" w:sz="3" w:space="0" w:color="000000"/>
              <w:left w:val="single" w:sz="3" w:space="0" w:color="000000"/>
              <w:bottom w:val="single" w:sz="3" w:space="0" w:color="000000"/>
              <w:right w:val="single" w:sz="3" w:space="0" w:color="000000"/>
            </w:tcBorders>
          </w:tcPr>
          <w:p w14:paraId="5F883F3C" w14:textId="77777777" w:rsidR="00541219" w:rsidRDefault="00000000">
            <w:pPr>
              <w:spacing w:after="0"/>
              <w:ind w:left="2" w:firstLine="0"/>
            </w:pPr>
            <w:r>
              <w:t>III.1.3 – Da modicidade tarifária</w:t>
            </w:r>
          </w:p>
          <w:p w14:paraId="08EECC53" w14:textId="77777777" w:rsidR="00541219" w:rsidRDefault="00000000">
            <w:pPr>
              <w:spacing w:after="0"/>
              <w:ind w:left="0" w:right="48" w:firstLine="0"/>
              <w:jc w:val="both"/>
            </w:pPr>
            <w:r>
              <w:rPr>
                <w:sz w:val="8"/>
              </w:rPr>
              <w:t>103. A definição das tarifas no setor elétrico é um processo complexo que envolve a interação entre o poder concedente, a regulação e as concessionárias. Cada uma dessas partes desempenha um papel crucial na busca pela modicidade tarifária, garantindo que os serviços sejam prestados de maneira eficiente e a custos acessíveis para os consumidores.</w:t>
            </w:r>
          </w:p>
        </w:tc>
        <w:tc>
          <w:tcPr>
            <w:tcW w:w="0" w:type="auto"/>
            <w:gridSpan w:val="2"/>
            <w:vMerge/>
            <w:tcBorders>
              <w:top w:val="nil"/>
              <w:left w:val="single" w:sz="3" w:space="0" w:color="000000"/>
              <w:bottom w:val="nil"/>
              <w:right w:val="nil"/>
            </w:tcBorders>
          </w:tcPr>
          <w:p w14:paraId="4C21325E" w14:textId="77777777" w:rsidR="00541219" w:rsidRDefault="00541219">
            <w:pPr>
              <w:spacing w:after="160"/>
              <w:ind w:left="0" w:firstLine="0"/>
            </w:pPr>
          </w:p>
        </w:tc>
      </w:tr>
    </w:tbl>
    <w:p w14:paraId="075928A4" w14:textId="77777777" w:rsidR="00541219" w:rsidRDefault="00541219">
      <w:pPr>
        <w:spacing w:after="0"/>
        <w:ind w:left="-1440" w:right="8609" w:firstLine="0"/>
      </w:pPr>
    </w:p>
    <w:tbl>
      <w:tblPr>
        <w:tblStyle w:val="TableGrid"/>
        <w:tblW w:w="10264" w:type="dxa"/>
        <w:tblInd w:w="-688" w:type="dxa"/>
        <w:tblCellMar>
          <w:top w:w="0" w:type="dxa"/>
          <w:left w:w="19" w:type="dxa"/>
          <w:bottom w:w="0" w:type="dxa"/>
          <w:right w:w="17" w:type="dxa"/>
        </w:tblCellMar>
        <w:tblLook w:val="04A0" w:firstRow="1" w:lastRow="0" w:firstColumn="1" w:lastColumn="0" w:noHBand="0" w:noVBand="1"/>
      </w:tblPr>
      <w:tblGrid>
        <w:gridCol w:w="5344"/>
        <w:gridCol w:w="1229"/>
        <w:gridCol w:w="3691"/>
      </w:tblGrid>
      <w:tr w:rsidR="00541219" w14:paraId="6F7E1FD3" w14:textId="77777777">
        <w:trPr>
          <w:trHeight w:val="150"/>
        </w:trPr>
        <w:tc>
          <w:tcPr>
            <w:tcW w:w="10264" w:type="dxa"/>
            <w:gridSpan w:val="3"/>
            <w:tcBorders>
              <w:top w:val="single" w:sz="6" w:space="0" w:color="000000"/>
              <w:left w:val="single" w:sz="6" w:space="0" w:color="000000"/>
              <w:bottom w:val="single" w:sz="3" w:space="0" w:color="000000"/>
              <w:right w:val="single" w:sz="6" w:space="0" w:color="000000"/>
            </w:tcBorders>
          </w:tcPr>
          <w:p w14:paraId="0278CDDC" w14:textId="77777777" w:rsidR="00541219" w:rsidRDefault="00000000">
            <w:pPr>
              <w:spacing w:after="0"/>
              <w:ind w:left="13" w:firstLine="0"/>
              <w:jc w:val="center"/>
            </w:pPr>
            <w:r>
              <w:rPr>
                <w:color w:val="0000FF"/>
                <w:sz w:val="12"/>
              </w:rPr>
              <w:t>CONTRIBUIÇÃO REFERENTE À CONSULTA PÚBLICA Nº 27/2024</w:t>
            </w:r>
          </w:p>
        </w:tc>
      </w:tr>
      <w:tr w:rsidR="00541219" w14:paraId="60114AA1" w14:textId="77777777">
        <w:trPr>
          <w:trHeight w:val="149"/>
        </w:trPr>
        <w:tc>
          <w:tcPr>
            <w:tcW w:w="10264" w:type="dxa"/>
            <w:gridSpan w:val="3"/>
            <w:tcBorders>
              <w:top w:val="single" w:sz="3" w:space="0" w:color="000000"/>
              <w:left w:val="single" w:sz="6" w:space="0" w:color="000000"/>
              <w:bottom w:val="single" w:sz="3" w:space="0" w:color="000000"/>
              <w:right w:val="single" w:sz="6" w:space="0" w:color="000000"/>
            </w:tcBorders>
          </w:tcPr>
          <w:p w14:paraId="5497D69E" w14:textId="77777777" w:rsidR="00541219" w:rsidRDefault="00000000">
            <w:pPr>
              <w:spacing w:after="0"/>
              <w:ind w:left="1" w:firstLine="0"/>
              <w:jc w:val="center"/>
            </w:pPr>
            <w:r>
              <w:rPr>
                <w:color w:val="0000FF"/>
                <w:sz w:val="12"/>
              </w:rPr>
              <w:t>NOME DA INSTITUIÇÃO: CONCEN Conselho de Consumidores da Energisa Mato Grosso do Sul</w:t>
            </w:r>
          </w:p>
        </w:tc>
      </w:tr>
      <w:tr w:rsidR="00541219" w14:paraId="60D2BAE5" w14:textId="77777777">
        <w:trPr>
          <w:trHeight w:val="149"/>
        </w:trPr>
        <w:tc>
          <w:tcPr>
            <w:tcW w:w="10264" w:type="dxa"/>
            <w:gridSpan w:val="3"/>
            <w:tcBorders>
              <w:top w:val="single" w:sz="3" w:space="0" w:color="000000"/>
              <w:left w:val="single" w:sz="6" w:space="0" w:color="000000"/>
              <w:bottom w:val="single" w:sz="3" w:space="0" w:color="000000"/>
              <w:right w:val="single" w:sz="6" w:space="0" w:color="000000"/>
            </w:tcBorders>
          </w:tcPr>
          <w:p w14:paraId="1268FD86" w14:textId="77777777" w:rsidR="00541219" w:rsidRDefault="00000000">
            <w:pPr>
              <w:tabs>
                <w:tab w:val="center" w:pos="626"/>
                <w:tab w:val="center" w:pos="5122"/>
              </w:tabs>
              <w:spacing w:after="0"/>
              <w:ind w:left="0" w:firstLine="0"/>
            </w:pPr>
            <w:r>
              <w:rPr>
                <w:rFonts w:ascii="Calibri" w:eastAsia="Calibri" w:hAnsi="Calibri" w:cs="Calibri"/>
                <w:sz w:val="22"/>
              </w:rPr>
              <w:tab/>
            </w:r>
            <w:r>
              <w:rPr>
                <w:noProof/>
              </w:rPr>
              <w:drawing>
                <wp:inline distT="0" distB="0" distL="0" distR="0" wp14:anchorId="648FC22F" wp14:editId="7A196F65">
                  <wp:extent cx="585216" cy="362712"/>
                  <wp:effectExtent l="0" t="0" r="0" b="0"/>
                  <wp:docPr id="1949" name="Picture 1949"/>
                  <wp:cNvGraphicFramePr/>
                  <a:graphic xmlns:a="http://schemas.openxmlformats.org/drawingml/2006/main">
                    <a:graphicData uri="http://schemas.openxmlformats.org/drawingml/2006/picture">
                      <pic:pic xmlns:pic="http://schemas.openxmlformats.org/drawingml/2006/picture">
                        <pic:nvPicPr>
                          <pic:cNvPr id="1949" name="Picture 1949"/>
                          <pic:cNvPicPr/>
                        </pic:nvPicPr>
                        <pic:blipFill>
                          <a:blip r:embed="rId5"/>
                          <a:stretch>
                            <a:fillRect/>
                          </a:stretch>
                        </pic:blipFill>
                        <pic:spPr>
                          <a:xfrm>
                            <a:off x="0" y="0"/>
                            <a:ext cx="585216" cy="362712"/>
                          </a:xfrm>
                          <a:prstGeom prst="rect">
                            <a:avLst/>
                          </a:prstGeom>
                        </pic:spPr>
                      </pic:pic>
                    </a:graphicData>
                  </a:graphic>
                </wp:inline>
              </w:drawing>
            </w:r>
            <w:r>
              <w:rPr>
                <w:color w:val="0000FF"/>
                <w:sz w:val="12"/>
              </w:rPr>
              <w:tab/>
              <w:t>AGÊNCIA NACIONAL DE ENERGIA ELÉTRICA – ANEEL</w:t>
            </w:r>
          </w:p>
        </w:tc>
      </w:tr>
      <w:tr w:rsidR="00541219" w14:paraId="5CA5F311" w14:textId="77777777">
        <w:trPr>
          <w:trHeight w:val="178"/>
        </w:trPr>
        <w:tc>
          <w:tcPr>
            <w:tcW w:w="10264" w:type="dxa"/>
            <w:gridSpan w:val="3"/>
            <w:tcBorders>
              <w:top w:val="single" w:sz="3" w:space="0" w:color="000000"/>
              <w:left w:val="single" w:sz="6" w:space="0" w:color="000000"/>
              <w:bottom w:val="single" w:sz="3" w:space="0" w:color="000000"/>
              <w:right w:val="single" w:sz="6" w:space="0" w:color="000000"/>
            </w:tcBorders>
          </w:tcPr>
          <w:p w14:paraId="0F58CC65" w14:textId="77777777" w:rsidR="00541219" w:rsidRDefault="00000000">
            <w:pPr>
              <w:spacing w:after="0"/>
              <w:ind w:left="11" w:firstLine="0"/>
              <w:jc w:val="center"/>
            </w:pPr>
            <w:r>
              <w:rPr>
                <w:color w:val="0000FF"/>
              </w:rPr>
              <w:t>NOTA TÉCNICA nº 1.056/2024-SCE-SFF-SFT-SMA-STE-STD-STR/ANEEL de 09 de outubro de 2024.</w:t>
            </w:r>
          </w:p>
        </w:tc>
      </w:tr>
      <w:tr w:rsidR="00541219" w14:paraId="484B6653" w14:textId="77777777">
        <w:trPr>
          <w:trHeight w:val="194"/>
        </w:trPr>
        <w:tc>
          <w:tcPr>
            <w:tcW w:w="10264" w:type="dxa"/>
            <w:gridSpan w:val="3"/>
            <w:tcBorders>
              <w:top w:val="single" w:sz="3" w:space="0" w:color="000000"/>
              <w:left w:val="single" w:sz="6" w:space="0" w:color="000000"/>
              <w:bottom w:val="single" w:sz="3" w:space="0" w:color="000000"/>
              <w:right w:val="single" w:sz="6" w:space="0" w:color="000000"/>
            </w:tcBorders>
          </w:tcPr>
          <w:p w14:paraId="656AABBD" w14:textId="77777777" w:rsidR="00541219" w:rsidRDefault="00000000">
            <w:pPr>
              <w:spacing w:after="0"/>
              <w:ind w:left="0" w:right="1" w:firstLine="0"/>
              <w:jc w:val="center"/>
            </w:pPr>
            <w:r>
              <w:rPr>
                <w:color w:val="0000FF"/>
              </w:rPr>
              <w:t xml:space="preserve">                                                               EMENTA: Obter subsídios para o aprimoramento da minuta de termo aditivo ao contrato de concessão de distribuição de energia elétrica com vistas à prorrogação das concessões.</w:t>
            </w:r>
          </w:p>
        </w:tc>
      </w:tr>
      <w:tr w:rsidR="00541219" w14:paraId="3AA8693B" w14:textId="77777777">
        <w:trPr>
          <w:trHeight w:val="132"/>
        </w:trPr>
        <w:tc>
          <w:tcPr>
            <w:tcW w:w="10264" w:type="dxa"/>
            <w:gridSpan w:val="3"/>
            <w:tcBorders>
              <w:top w:val="single" w:sz="3" w:space="0" w:color="000000"/>
              <w:left w:val="single" w:sz="6" w:space="0" w:color="000000"/>
              <w:bottom w:val="single" w:sz="3" w:space="0" w:color="000000"/>
              <w:right w:val="single" w:sz="6" w:space="0" w:color="000000"/>
            </w:tcBorders>
          </w:tcPr>
          <w:p w14:paraId="0FA150E0" w14:textId="77777777" w:rsidR="00541219" w:rsidRDefault="00000000">
            <w:pPr>
              <w:spacing w:after="0"/>
              <w:ind w:left="0" w:right="2" w:firstLine="0"/>
              <w:jc w:val="center"/>
            </w:pPr>
            <w:r>
              <w:rPr>
                <w:color w:val="0000FF"/>
                <w:sz w:val="11"/>
              </w:rPr>
              <w:t>CONTRIBUIÇÕES RECEBIDAS</w:t>
            </w:r>
          </w:p>
        </w:tc>
      </w:tr>
      <w:tr w:rsidR="00541219" w14:paraId="661AA04C" w14:textId="77777777">
        <w:trPr>
          <w:trHeight w:val="275"/>
        </w:trPr>
        <w:tc>
          <w:tcPr>
            <w:tcW w:w="10264" w:type="dxa"/>
            <w:gridSpan w:val="3"/>
            <w:tcBorders>
              <w:top w:val="single" w:sz="3" w:space="0" w:color="000000"/>
              <w:left w:val="single" w:sz="6" w:space="0" w:color="000000"/>
              <w:bottom w:val="single" w:sz="6" w:space="0" w:color="000000"/>
              <w:right w:val="single" w:sz="6" w:space="0" w:color="000000"/>
            </w:tcBorders>
          </w:tcPr>
          <w:p w14:paraId="69D9DDB0" w14:textId="77777777" w:rsidR="00541219" w:rsidRDefault="00000000">
            <w:pPr>
              <w:spacing w:after="0"/>
              <w:ind w:left="0" w:firstLine="0"/>
            </w:pPr>
            <w:r>
              <w:t>IMPORTANTE: Os comentários e sugestões referentes às contribuições deverão ser fundamentados e justificados, mencionando-se os artigos, parágrafos e incisos a que se referem, devendo ser acompanhados de textos alternativos e substitutivos quando envolverem sugestões de inclusão ou alteração, parcial ou total, de qualquer dispositivo.</w:t>
            </w:r>
          </w:p>
        </w:tc>
      </w:tr>
      <w:tr w:rsidR="00541219" w14:paraId="3E829B8C" w14:textId="77777777">
        <w:trPr>
          <w:trHeight w:val="213"/>
        </w:trPr>
        <w:tc>
          <w:tcPr>
            <w:tcW w:w="5344" w:type="dxa"/>
            <w:tcBorders>
              <w:top w:val="single" w:sz="6" w:space="0" w:color="000000"/>
              <w:left w:val="single" w:sz="6" w:space="0" w:color="000000"/>
              <w:bottom w:val="double" w:sz="4" w:space="0" w:color="000000"/>
              <w:right w:val="single" w:sz="6" w:space="0" w:color="000000"/>
            </w:tcBorders>
            <w:shd w:val="clear" w:color="auto" w:fill="FF0000"/>
          </w:tcPr>
          <w:p w14:paraId="26846B03" w14:textId="77777777" w:rsidR="00541219" w:rsidRDefault="00000000">
            <w:pPr>
              <w:spacing w:after="0"/>
              <w:ind w:left="0" w:firstLine="0"/>
              <w:jc w:val="center"/>
            </w:pPr>
            <w:r>
              <w:rPr>
                <w:color w:val="FFFFFF"/>
                <w:sz w:val="11"/>
              </w:rPr>
              <w:t xml:space="preserve">TEXTO/ANEEL </w:t>
            </w:r>
          </w:p>
        </w:tc>
        <w:tc>
          <w:tcPr>
            <w:tcW w:w="1229" w:type="dxa"/>
            <w:tcBorders>
              <w:top w:val="single" w:sz="6" w:space="0" w:color="000000"/>
              <w:left w:val="single" w:sz="6" w:space="0" w:color="000000"/>
              <w:bottom w:val="single" w:sz="6" w:space="0" w:color="000000"/>
              <w:right w:val="single" w:sz="6" w:space="0" w:color="000000"/>
            </w:tcBorders>
            <w:shd w:val="clear" w:color="auto" w:fill="FF0000"/>
          </w:tcPr>
          <w:p w14:paraId="410A1F0B" w14:textId="77777777" w:rsidR="00541219" w:rsidRDefault="00000000">
            <w:pPr>
              <w:spacing w:after="0"/>
              <w:ind w:left="70" w:firstLine="0"/>
            </w:pPr>
            <w:r>
              <w:rPr>
                <w:color w:val="FFFFFF"/>
                <w:sz w:val="11"/>
              </w:rPr>
              <w:t>TEXTO/INSTITUIÇÃO</w:t>
            </w:r>
          </w:p>
        </w:tc>
        <w:tc>
          <w:tcPr>
            <w:tcW w:w="3691" w:type="dxa"/>
            <w:tcBorders>
              <w:top w:val="single" w:sz="6" w:space="0" w:color="000000"/>
              <w:left w:val="single" w:sz="6" w:space="0" w:color="000000"/>
              <w:bottom w:val="single" w:sz="6" w:space="0" w:color="000000"/>
              <w:right w:val="single" w:sz="6" w:space="0" w:color="000000"/>
            </w:tcBorders>
            <w:shd w:val="clear" w:color="auto" w:fill="FF0000"/>
          </w:tcPr>
          <w:p w14:paraId="3C55B161" w14:textId="77777777" w:rsidR="00541219" w:rsidRDefault="00000000">
            <w:pPr>
              <w:spacing w:after="0"/>
              <w:ind w:left="18" w:firstLine="0"/>
              <w:jc w:val="center"/>
            </w:pPr>
            <w:r>
              <w:rPr>
                <w:color w:val="FFFFFF"/>
                <w:sz w:val="11"/>
              </w:rPr>
              <w:t>JUSTIFICATIVA/INSTITUIÇÃO</w:t>
            </w:r>
          </w:p>
        </w:tc>
      </w:tr>
      <w:tr w:rsidR="00541219" w14:paraId="3118746F" w14:textId="77777777">
        <w:trPr>
          <w:trHeight w:val="669"/>
        </w:trPr>
        <w:tc>
          <w:tcPr>
            <w:tcW w:w="5344" w:type="dxa"/>
            <w:tcBorders>
              <w:top w:val="double" w:sz="4" w:space="0" w:color="000000"/>
              <w:left w:val="single" w:sz="3" w:space="0" w:color="000000"/>
              <w:bottom w:val="single" w:sz="3" w:space="0" w:color="000000"/>
              <w:right w:val="single" w:sz="3" w:space="0" w:color="000000"/>
            </w:tcBorders>
          </w:tcPr>
          <w:p w14:paraId="33962460" w14:textId="77777777" w:rsidR="00541219" w:rsidRDefault="00000000">
            <w:pPr>
              <w:spacing w:after="0"/>
              <w:ind w:left="0" w:firstLine="0"/>
            </w:pPr>
            <w:r>
              <w:rPr>
                <w:sz w:val="8"/>
              </w:rPr>
              <w:t>104. O papel do poder concedente é determinante na definição das tarifas, sendo influenciado por diversos fatores. Primeiramente, ele estabelece comandos legais e encargos, como o orçamento da Conta de Desenvolvimento Energético (CDE), que impactam diretamente os custos tarifários. Além disso, o poder concedente impõe obrigações contratuais para a contratação de fontes de energia específicas, como o Proinfa, Eletronuclear e Itaipu, muitas vezes orientadas por políticas públicas que podem afastar- se do objetivo de custo mínimo. A definição de impostos e tributos pelo poder concedente também afeta significativamente os custos finais das tarifas, influenciando o preço pago pelos consumidores. Outro aspecto importante são as demandas ambientais, que podem encarecer os investimentos necessários no setor elétrico, impactando as tarifas. Por fim, as exigências urbanísticas para a instalação das redes elétricas representam custos adicionais que devem ser considerados na formulação das tarifas.</w:t>
            </w:r>
          </w:p>
        </w:tc>
        <w:tc>
          <w:tcPr>
            <w:tcW w:w="4920" w:type="dxa"/>
            <w:gridSpan w:val="2"/>
            <w:vMerge w:val="restart"/>
            <w:tcBorders>
              <w:top w:val="single" w:sz="6" w:space="0" w:color="000000"/>
              <w:left w:val="single" w:sz="3" w:space="0" w:color="000000"/>
              <w:bottom w:val="single" w:sz="3" w:space="0" w:color="000000"/>
              <w:right w:val="nil"/>
            </w:tcBorders>
          </w:tcPr>
          <w:p w14:paraId="21FE3A8A" w14:textId="77777777" w:rsidR="00541219" w:rsidRDefault="00541219">
            <w:pPr>
              <w:spacing w:after="160"/>
              <w:ind w:left="0" w:firstLine="0"/>
            </w:pPr>
          </w:p>
        </w:tc>
      </w:tr>
      <w:tr w:rsidR="00541219" w14:paraId="23D4CFE1" w14:textId="77777777">
        <w:trPr>
          <w:trHeight w:val="564"/>
        </w:trPr>
        <w:tc>
          <w:tcPr>
            <w:tcW w:w="5344" w:type="dxa"/>
            <w:tcBorders>
              <w:top w:val="single" w:sz="3" w:space="0" w:color="000000"/>
              <w:left w:val="single" w:sz="3" w:space="0" w:color="000000"/>
              <w:bottom w:val="single" w:sz="3" w:space="0" w:color="000000"/>
              <w:right w:val="single" w:sz="3" w:space="0" w:color="000000"/>
            </w:tcBorders>
          </w:tcPr>
          <w:p w14:paraId="123797ED" w14:textId="77777777" w:rsidR="00541219" w:rsidRDefault="00000000">
            <w:pPr>
              <w:spacing w:after="0"/>
              <w:ind w:left="0" w:right="2" w:firstLine="0"/>
            </w:pPr>
            <w:r>
              <w:rPr>
                <w:sz w:val="8"/>
              </w:rPr>
              <w:t xml:space="preserve">105. A regulação desempenha o papel essencial de definir normas e parâmetros para garantir a eficiência do setor elétrico e o equilíbrio </w:t>
            </w:r>
            <w:proofErr w:type="spellStart"/>
            <w:r>
              <w:rPr>
                <w:sz w:val="8"/>
              </w:rPr>
              <w:t>econômicofinanceiro</w:t>
            </w:r>
            <w:proofErr w:type="spellEnd"/>
            <w:r>
              <w:rPr>
                <w:sz w:val="8"/>
              </w:rPr>
              <w:t xml:space="preserve"> da concessão. Um dos principais objetivos da regulação é estabelecer parâmetros de eficiência, especialmente para componentes tarifários como perdas não técnicas na parcela A e outros itens da parcela B, assegurando que os custos sejam justos e transparentes. Além disso, a regulação é responsável por reconhecer os investimentos realizados pelas concessionárias, o que também pode afetar a tarifa. Esse reconhecimento é fundamental para garantir que as concessionárias tenham a capacidade de investir de maneira adequada, mantendo a qualidade dos serviços sem sobrecarregar os consumidores com tarifas excessivas.</w:t>
            </w:r>
          </w:p>
        </w:tc>
        <w:tc>
          <w:tcPr>
            <w:tcW w:w="0" w:type="auto"/>
            <w:gridSpan w:val="2"/>
            <w:vMerge/>
            <w:tcBorders>
              <w:top w:val="nil"/>
              <w:left w:val="single" w:sz="3" w:space="0" w:color="000000"/>
              <w:bottom w:val="nil"/>
              <w:right w:val="nil"/>
            </w:tcBorders>
          </w:tcPr>
          <w:p w14:paraId="79CC0B27" w14:textId="77777777" w:rsidR="00541219" w:rsidRDefault="00541219">
            <w:pPr>
              <w:spacing w:after="160"/>
              <w:ind w:left="0" w:firstLine="0"/>
            </w:pPr>
          </w:p>
        </w:tc>
      </w:tr>
      <w:tr w:rsidR="00541219" w14:paraId="73978B8F" w14:textId="77777777">
        <w:trPr>
          <w:trHeight w:val="564"/>
        </w:trPr>
        <w:tc>
          <w:tcPr>
            <w:tcW w:w="5344" w:type="dxa"/>
            <w:tcBorders>
              <w:top w:val="single" w:sz="3" w:space="0" w:color="000000"/>
              <w:left w:val="single" w:sz="3" w:space="0" w:color="000000"/>
              <w:bottom w:val="single" w:sz="3" w:space="0" w:color="000000"/>
              <w:right w:val="single" w:sz="3" w:space="0" w:color="000000"/>
            </w:tcBorders>
          </w:tcPr>
          <w:p w14:paraId="3637B631" w14:textId="77777777" w:rsidR="00541219" w:rsidRDefault="00000000">
            <w:pPr>
              <w:spacing w:after="5" w:line="252" w:lineRule="auto"/>
              <w:ind w:left="0" w:firstLine="0"/>
            </w:pPr>
            <w:r>
              <w:rPr>
                <w:sz w:val="8"/>
              </w:rPr>
              <w:t xml:space="preserve">106. As concessionárias, por sua vez, desempenham um papel vital na manutenção da modicidade tarifária, considerando uma série de fatores internos e externos. As características da área de concessão, como a condição dos ativos, a densidade da demanda e as economias de escala, têm um impacto direto na formação das tarifas. Além disso, a prudência das concessionárias na realização de investimentos é crucial para manter tarifas equilibradas. </w:t>
            </w:r>
          </w:p>
          <w:p w14:paraId="12554C45" w14:textId="77777777" w:rsidR="00541219" w:rsidRDefault="00000000">
            <w:pPr>
              <w:spacing w:after="0"/>
              <w:ind w:left="0" w:right="175" w:firstLine="0"/>
              <w:jc w:val="both"/>
            </w:pPr>
            <w:r>
              <w:rPr>
                <w:sz w:val="8"/>
              </w:rPr>
              <w:t>Investimentos eficientes e bem planejados podem reduzir custos operacionais e, consequentemente, as tarifas para os consumidores. O histórico de contratações e as condições econômicas específicas de cada concessão também influenciam as tarifas, uma vez que a segurança contratual deve ser mantida para garantir a continuidade do serviço.</w:t>
            </w:r>
          </w:p>
        </w:tc>
        <w:tc>
          <w:tcPr>
            <w:tcW w:w="0" w:type="auto"/>
            <w:gridSpan w:val="2"/>
            <w:vMerge/>
            <w:tcBorders>
              <w:top w:val="nil"/>
              <w:left w:val="single" w:sz="3" w:space="0" w:color="000000"/>
              <w:bottom w:val="nil"/>
              <w:right w:val="nil"/>
            </w:tcBorders>
          </w:tcPr>
          <w:p w14:paraId="6D5BBE11" w14:textId="77777777" w:rsidR="00541219" w:rsidRDefault="00541219">
            <w:pPr>
              <w:spacing w:after="160"/>
              <w:ind w:left="0" w:firstLine="0"/>
            </w:pPr>
          </w:p>
        </w:tc>
      </w:tr>
      <w:tr w:rsidR="00541219" w14:paraId="08543CEB" w14:textId="77777777">
        <w:trPr>
          <w:trHeight w:val="470"/>
        </w:trPr>
        <w:tc>
          <w:tcPr>
            <w:tcW w:w="5344" w:type="dxa"/>
            <w:tcBorders>
              <w:top w:val="single" w:sz="3" w:space="0" w:color="000000"/>
              <w:left w:val="single" w:sz="3" w:space="0" w:color="000000"/>
              <w:bottom w:val="single" w:sz="3" w:space="0" w:color="000000"/>
              <w:right w:val="single" w:sz="3" w:space="0" w:color="000000"/>
            </w:tcBorders>
          </w:tcPr>
          <w:p w14:paraId="17D1D0AE" w14:textId="77777777" w:rsidR="00541219" w:rsidRDefault="00000000">
            <w:pPr>
              <w:spacing w:after="0"/>
              <w:ind w:left="0" w:firstLine="0"/>
            </w:pPr>
            <w:r>
              <w:rPr>
                <w:sz w:val="8"/>
              </w:rPr>
              <w:t>107. Dessa forma, a modicidade tarifária no setor elétrico é o resultado de uma complexa interação entre o poder concedente, a regulação e as concessionárias. Cada uma dessas partes tem um papel essencial na determinação das tarifas, buscando equilibrar a viabilização de políticas públicas e os custos para os consumidores, com a necessidade de garantir a viabilidade econômica e a qualidade dos serviços prestados. O desafio está em encontrar um equilíbrio que assegure tarifas acessíveis e justas, ao mesmo tempo em que promove a eficiência e a sustentabilidade do setor elétrico.</w:t>
            </w:r>
          </w:p>
        </w:tc>
        <w:tc>
          <w:tcPr>
            <w:tcW w:w="0" w:type="auto"/>
            <w:gridSpan w:val="2"/>
            <w:vMerge/>
            <w:tcBorders>
              <w:top w:val="nil"/>
              <w:left w:val="single" w:sz="3" w:space="0" w:color="000000"/>
              <w:bottom w:val="nil"/>
              <w:right w:val="nil"/>
            </w:tcBorders>
          </w:tcPr>
          <w:p w14:paraId="673F740E" w14:textId="77777777" w:rsidR="00541219" w:rsidRDefault="00541219">
            <w:pPr>
              <w:spacing w:after="160"/>
              <w:ind w:left="0" w:firstLine="0"/>
            </w:pPr>
          </w:p>
        </w:tc>
      </w:tr>
      <w:tr w:rsidR="00541219" w14:paraId="3B34AD08" w14:textId="77777777">
        <w:trPr>
          <w:trHeight w:val="658"/>
        </w:trPr>
        <w:tc>
          <w:tcPr>
            <w:tcW w:w="5344" w:type="dxa"/>
            <w:tcBorders>
              <w:top w:val="single" w:sz="3" w:space="0" w:color="000000"/>
              <w:left w:val="single" w:sz="3" w:space="0" w:color="000000"/>
              <w:bottom w:val="single" w:sz="3" w:space="0" w:color="000000"/>
              <w:right w:val="single" w:sz="3" w:space="0" w:color="000000"/>
            </w:tcBorders>
          </w:tcPr>
          <w:p w14:paraId="22B1B234" w14:textId="77777777" w:rsidR="00541219" w:rsidRDefault="00000000">
            <w:pPr>
              <w:spacing w:after="0"/>
              <w:ind w:left="0" w:firstLine="0"/>
            </w:pPr>
            <w:r>
              <w:rPr>
                <w:sz w:val="8"/>
              </w:rPr>
              <w:t xml:space="preserve">108. A busca pela modicidade tarifária, por parte do regulador, envolve necessariamente encontrar o ponto de equilíbrio econômico-financeiro durante as revisões tarifárias que garanta a prestação do serviço de distribuição de energia elétrica. Assim, esse equilíbrio é essencial para garantir a continuidade, qualidade e universalidade do serviço de energia, respeitando os compromissos financeiros assumidos. É importante destacar que esse equilíbrio não assegura tarifas baixas e acessíveis para todas as faixas de renda. No entanto, busca evitar que tarifas abaixo desse ponto prejudiquem a continuidade e a qualidade do serviço, bem como a viabilidade econômica dos contratos de concessão, que é distinta da viabilidade da concessionária em si. O objetivo </w:t>
            </w:r>
            <w:proofErr w:type="gramStart"/>
            <w:r>
              <w:rPr>
                <w:sz w:val="8"/>
              </w:rPr>
              <w:t>é  evitar</w:t>
            </w:r>
            <w:proofErr w:type="gramEnd"/>
            <w:r>
              <w:rPr>
                <w:sz w:val="8"/>
              </w:rPr>
              <w:t xml:space="preserve"> a definição de metas regulatórias que sejam facilmente alcançáveis, resultando em uma transferência unilateral de recursos do consumidor para o concessionário.</w:t>
            </w:r>
          </w:p>
        </w:tc>
        <w:tc>
          <w:tcPr>
            <w:tcW w:w="0" w:type="auto"/>
            <w:gridSpan w:val="2"/>
            <w:vMerge/>
            <w:tcBorders>
              <w:top w:val="nil"/>
              <w:left w:val="single" w:sz="3" w:space="0" w:color="000000"/>
              <w:bottom w:val="nil"/>
              <w:right w:val="nil"/>
            </w:tcBorders>
          </w:tcPr>
          <w:p w14:paraId="160E3C86" w14:textId="77777777" w:rsidR="00541219" w:rsidRDefault="00541219">
            <w:pPr>
              <w:spacing w:after="160"/>
              <w:ind w:left="0" w:firstLine="0"/>
            </w:pPr>
          </w:p>
        </w:tc>
      </w:tr>
      <w:tr w:rsidR="00541219" w14:paraId="55E363C6"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6EDEE944" w14:textId="77777777" w:rsidR="00541219" w:rsidRDefault="00000000">
            <w:pPr>
              <w:spacing w:after="0"/>
              <w:ind w:left="0" w:firstLine="0"/>
            </w:pPr>
            <w:r>
              <w:rPr>
                <w:sz w:val="8"/>
              </w:rPr>
              <w:t>109. Quando a Lei 8.987/95 estabeleceu a regulação por preço, consolidou a regulação por incentivos, que é uma ferramenta prevista para simular os benefícios da competição em monopólios naturais no serviço de rede. Essa abordagem busca garantir que as concessionárias operem de forma eficiente, promovendo o uso responsável dos recursos e beneficiando os consumidores finais.</w:t>
            </w:r>
          </w:p>
        </w:tc>
        <w:tc>
          <w:tcPr>
            <w:tcW w:w="0" w:type="auto"/>
            <w:gridSpan w:val="2"/>
            <w:vMerge/>
            <w:tcBorders>
              <w:top w:val="nil"/>
              <w:left w:val="single" w:sz="3" w:space="0" w:color="000000"/>
              <w:bottom w:val="nil"/>
              <w:right w:val="nil"/>
            </w:tcBorders>
          </w:tcPr>
          <w:p w14:paraId="78A7BBFA" w14:textId="77777777" w:rsidR="00541219" w:rsidRDefault="00541219">
            <w:pPr>
              <w:spacing w:after="160"/>
              <w:ind w:left="0" w:firstLine="0"/>
            </w:pPr>
          </w:p>
        </w:tc>
      </w:tr>
      <w:tr w:rsidR="00541219" w14:paraId="1599ED87"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0F7789CF" w14:textId="77777777" w:rsidR="00541219" w:rsidRDefault="00000000">
            <w:pPr>
              <w:spacing w:after="0"/>
              <w:ind w:left="0" w:firstLine="0"/>
            </w:pPr>
            <w:r>
              <w:rPr>
                <w:sz w:val="8"/>
              </w:rPr>
              <w:lastRenderedPageBreak/>
              <w:t>110. De forma prática, portanto, o tema de modicidade tarifária permeia vários aspectos do atual contrato de concessão. Mais especificamente, a modicidade no contrato é materializada, mas não somente:</w:t>
            </w:r>
          </w:p>
        </w:tc>
        <w:tc>
          <w:tcPr>
            <w:tcW w:w="0" w:type="auto"/>
            <w:gridSpan w:val="2"/>
            <w:vMerge/>
            <w:tcBorders>
              <w:top w:val="nil"/>
              <w:left w:val="single" w:sz="3" w:space="0" w:color="000000"/>
              <w:bottom w:val="nil"/>
              <w:right w:val="nil"/>
            </w:tcBorders>
          </w:tcPr>
          <w:p w14:paraId="77EE8CBC" w14:textId="77777777" w:rsidR="00541219" w:rsidRDefault="00541219">
            <w:pPr>
              <w:spacing w:after="160"/>
              <w:ind w:left="0" w:firstLine="0"/>
            </w:pPr>
          </w:p>
        </w:tc>
      </w:tr>
      <w:tr w:rsidR="00541219" w14:paraId="654906FE"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4D3A16CE" w14:textId="77777777" w:rsidR="00541219" w:rsidRDefault="00000000">
            <w:pPr>
              <w:spacing w:after="0"/>
              <w:ind w:left="497" w:right="16" w:firstLine="0"/>
            </w:pPr>
            <w:r>
              <w:rPr>
                <w:sz w:val="8"/>
              </w:rPr>
              <w:t xml:space="preserve">     • Na utilização do modelo econômico de preço-teto associado ao uso do ciclo tarifário de 5 anos, onde a distribuidora busca a redução de custos sobre a Parcela B durante esse período;</w:t>
            </w:r>
          </w:p>
        </w:tc>
        <w:tc>
          <w:tcPr>
            <w:tcW w:w="0" w:type="auto"/>
            <w:gridSpan w:val="2"/>
            <w:vMerge/>
            <w:tcBorders>
              <w:top w:val="nil"/>
              <w:left w:val="single" w:sz="3" w:space="0" w:color="000000"/>
              <w:bottom w:val="nil"/>
              <w:right w:val="nil"/>
            </w:tcBorders>
          </w:tcPr>
          <w:p w14:paraId="4889B09B" w14:textId="77777777" w:rsidR="00541219" w:rsidRDefault="00541219">
            <w:pPr>
              <w:spacing w:after="160"/>
              <w:ind w:left="0" w:firstLine="0"/>
            </w:pPr>
          </w:p>
        </w:tc>
      </w:tr>
      <w:tr w:rsidR="00541219" w14:paraId="0C7DE80D"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3D9E3290" w14:textId="77777777" w:rsidR="00541219" w:rsidRDefault="00000000">
            <w:pPr>
              <w:spacing w:after="0"/>
              <w:ind w:left="497" w:firstLine="0"/>
            </w:pPr>
            <w:r>
              <w:rPr>
                <w:sz w:val="8"/>
              </w:rPr>
              <w:t xml:space="preserve">     • No cálculo da Parcela B quando das revisões tarifárias considerando análise de eficiência para os custos operacionais, taxa de retorno adequada, taxa de depreciação regulatória e base de remuneração com investimentos eficientes e prudentes;</w:t>
            </w:r>
          </w:p>
        </w:tc>
        <w:tc>
          <w:tcPr>
            <w:tcW w:w="0" w:type="auto"/>
            <w:gridSpan w:val="2"/>
            <w:vMerge/>
            <w:tcBorders>
              <w:top w:val="nil"/>
              <w:left w:val="single" w:sz="3" w:space="0" w:color="000000"/>
              <w:bottom w:val="nil"/>
              <w:right w:val="nil"/>
            </w:tcBorders>
          </w:tcPr>
          <w:p w14:paraId="7906948D" w14:textId="77777777" w:rsidR="00541219" w:rsidRDefault="00541219">
            <w:pPr>
              <w:spacing w:after="160"/>
              <w:ind w:left="0" w:firstLine="0"/>
            </w:pPr>
          </w:p>
        </w:tc>
      </w:tr>
      <w:tr w:rsidR="00541219" w14:paraId="74B2A99B"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553BF3E4" w14:textId="77777777" w:rsidR="00541219" w:rsidRDefault="00000000">
            <w:pPr>
              <w:spacing w:after="0"/>
              <w:ind w:left="497" w:firstLine="0"/>
            </w:pPr>
            <w:r>
              <w:rPr>
                <w:sz w:val="8"/>
              </w:rPr>
              <w:t xml:space="preserve">     • No estabelecimento do Fator X que considera compartilhamento de ganhos de produtividade com os usuários;</w:t>
            </w:r>
          </w:p>
        </w:tc>
        <w:tc>
          <w:tcPr>
            <w:tcW w:w="0" w:type="auto"/>
            <w:gridSpan w:val="2"/>
            <w:vMerge/>
            <w:tcBorders>
              <w:top w:val="nil"/>
              <w:left w:val="single" w:sz="3" w:space="0" w:color="000000"/>
              <w:bottom w:val="nil"/>
              <w:right w:val="nil"/>
            </w:tcBorders>
          </w:tcPr>
          <w:p w14:paraId="7808625E" w14:textId="77777777" w:rsidR="00541219" w:rsidRDefault="00541219">
            <w:pPr>
              <w:spacing w:after="160"/>
              <w:ind w:left="0" w:firstLine="0"/>
            </w:pPr>
          </w:p>
        </w:tc>
      </w:tr>
      <w:tr w:rsidR="00541219" w14:paraId="0F1414E0"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05218A16" w14:textId="77777777" w:rsidR="00541219" w:rsidRDefault="00000000">
            <w:pPr>
              <w:spacing w:after="0"/>
              <w:ind w:left="497" w:firstLine="0"/>
            </w:pPr>
            <w:r>
              <w:rPr>
                <w:sz w:val="8"/>
              </w:rPr>
              <w:t xml:space="preserve">     • No reconhecimento de custos eficientes ou regulatórios da Parcela A, incluindo compra de energia e contratação de uso do sistema de transmissão;</w:t>
            </w:r>
          </w:p>
        </w:tc>
        <w:tc>
          <w:tcPr>
            <w:tcW w:w="0" w:type="auto"/>
            <w:gridSpan w:val="2"/>
            <w:vMerge/>
            <w:tcBorders>
              <w:top w:val="nil"/>
              <w:left w:val="single" w:sz="3" w:space="0" w:color="000000"/>
              <w:bottom w:val="nil"/>
              <w:right w:val="nil"/>
            </w:tcBorders>
          </w:tcPr>
          <w:p w14:paraId="72BB1B52" w14:textId="77777777" w:rsidR="00541219" w:rsidRDefault="00541219">
            <w:pPr>
              <w:spacing w:after="160"/>
              <w:ind w:left="0" w:firstLine="0"/>
            </w:pPr>
          </w:p>
        </w:tc>
      </w:tr>
      <w:tr w:rsidR="00541219" w14:paraId="210CED69"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10718110" w14:textId="77777777" w:rsidR="00541219" w:rsidRDefault="00000000">
            <w:pPr>
              <w:spacing w:after="0"/>
              <w:ind w:left="497" w:firstLine="0"/>
              <w:jc w:val="both"/>
            </w:pPr>
            <w:r>
              <w:rPr>
                <w:sz w:val="8"/>
              </w:rPr>
              <w:t xml:space="preserve">     • Na reversão aos consumidores das receitas auferidas no exercício de outras atividades empresariais, assim como receitas obtidas com ultrapassagem de demanda e excedente de reativos;</w:t>
            </w:r>
          </w:p>
        </w:tc>
        <w:tc>
          <w:tcPr>
            <w:tcW w:w="0" w:type="auto"/>
            <w:gridSpan w:val="2"/>
            <w:vMerge/>
            <w:tcBorders>
              <w:top w:val="nil"/>
              <w:left w:val="single" w:sz="3" w:space="0" w:color="000000"/>
              <w:bottom w:val="nil"/>
              <w:right w:val="nil"/>
            </w:tcBorders>
          </w:tcPr>
          <w:p w14:paraId="6D70F251" w14:textId="77777777" w:rsidR="00541219" w:rsidRDefault="00541219">
            <w:pPr>
              <w:spacing w:after="160"/>
              <w:ind w:left="0" w:firstLine="0"/>
            </w:pPr>
          </w:p>
        </w:tc>
      </w:tr>
      <w:tr w:rsidR="00541219" w14:paraId="59DEFA72"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07FCA2D9" w14:textId="77777777" w:rsidR="00541219" w:rsidRDefault="00000000">
            <w:pPr>
              <w:spacing w:after="0"/>
              <w:ind w:left="497" w:firstLine="0"/>
            </w:pPr>
            <w:r>
              <w:rPr>
                <w:sz w:val="8"/>
              </w:rPr>
              <w:t xml:space="preserve">     • Na utilização de ferramenta de benchmarking na metodologia de perdas não técnicas estimulando a concessionária a reduzir os níveis dessas perdas.</w:t>
            </w:r>
          </w:p>
        </w:tc>
        <w:tc>
          <w:tcPr>
            <w:tcW w:w="0" w:type="auto"/>
            <w:gridSpan w:val="2"/>
            <w:vMerge/>
            <w:tcBorders>
              <w:top w:val="nil"/>
              <w:left w:val="single" w:sz="3" w:space="0" w:color="000000"/>
              <w:bottom w:val="nil"/>
              <w:right w:val="nil"/>
            </w:tcBorders>
          </w:tcPr>
          <w:p w14:paraId="0200202C" w14:textId="77777777" w:rsidR="00541219" w:rsidRDefault="00541219">
            <w:pPr>
              <w:spacing w:after="160"/>
              <w:ind w:left="0" w:firstLine="0"/>
            </w:pPr>
          </w:p>
        </w:tc>
      </w:tr>
      <w:tr w:rsidR="00541219" w14:paraId="70CF25C1"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5A3AC5AD" w14:textId="77777777" w:rsidR="00541219" w:rsidRDefault="00000000">
            <w:pPr>
              <w:spacing w:after="0"/>
              <w:ind w:left="0" w:firstLine="0"/>
            </w:pPr>
            <w:r>
              <w:rPr>
                <w:sz w:val="8"/>
              </w:rPr>
              <w:t>111. Os novos comandos trazidos pelo decreto alteram a lista que afetam a modicidade. São eles:</w:t>
            </w:r>
          </w:p>
        </w:tc>
        <w:tc>
          <w:tcPr>
            <w:tcW w:w="0" w:type="auto"/>
            <w:gridSpan w:val="2"/>
            <w:vMerge/>
            <w:tcBorders>
              <w:top w:val="nil"/>
              <w:left w:val="single" w:sz="3" w:space="0" w:color="000000"/>
              <w:bottom w:val="nil"/>
              <w:right w:val="nil"/>
            </w:tcBorders>
          </w:tcPr>
          <w:p w14:paraId="1BBE5BA9" w14:textId="77777777" w:rsidR="00541219" w:rsidRDefault="00541219">
            <w:pPr>
              <w:spacing w:after="160"/>
              <w:ind w:left="0" w:firstLine="0"/>
            </w:pPr>
          </w:p>
        </w:tc>
      </w:tr>
      <w:tr w:rsidR="00541219" w14:paraId="09540BB0"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55E84244" w14:textId="77777777" w:rsidR="00541219" w:rsidRDefault="00000000">
            <w:pPr>
              <w:spacing w:after="0"/>
              <w:ind w:left="497" w:firstLine="0"/>
            </w:pPr>
            <w:r>
              <w:rPr>
                <w:sz w:val="8"/>
              </w:rPr>
              <w:t xml:space="preserve">     • Possibilidade de utilização de metodologia de TOTEX para os custos de capital e operação, podendo resultar em aumento da eficiência na gestão da concessão, o que favorece a modicidade;</w:t>
            </w:r>
          </w:p>
        </w:tc>
        <w:tc>
          <w:tcPr>
            <w:tcW w:w="0" w:type="auto"/>
            <w:gridSpan w:val="2"/>
            <w:vMerge/>
            <w:tcBorders>
              <w:top w:val="nil"/>
              <w:left w:val="single" w:sz="3" w:space="0" w:color="000000"/>
              <w:bottom w:val="nil"/>
              <w:right w:val="nil"/>
            </w:tcBorders>
          </w:tcPr>
          <w:p w14:paraId="4A430CEF" w14:textId="77777777" w:rsidR="00541219" w:rsidRDefault="00541219">
            <w:pPr>
              <w:spacing w:after="160"/>
              <w:ind w:left="0" w:firstLine="0"/>
            </w:pPr>
          </w:p>
        </w:tc>
      </w:tr>
      <w:tr w:rsidR="00541219" w14:paraId="7D1D2A81"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785110C3" w14:textId="77777777" w:rsidR="00541219" w:rsidRDefault="00000000">
            <w:pPr>
              <w:spacing w:after="0"/>
              <w:ind w:left="497" w:firstLine="0"/>
            </w:pPr>
            <w:r>
              <w:rPr>
                <w:sz w:val="8"/>
              </w:rPr>
              <w:t xml:space="preserve">     • Alteração da destinação de receitas obtidas pela concessionária com UDEROR de acordo com os comandos do Decreto 12.068/24:</w:t>
            </w:r>
          </w:p>
        </w:tc>
        <w:tc>
          <w:tcPr>
            <w:tcW w:w="0" w:type="auto"/>
            <w:gridSpan w:val="2"/>
            <w:vMerge/>
            <w:tcBorders>
              <w:top w:val="nil"/>
              <w:left w:val="single" w:sz="3" w:space="0" w:color="000000"/>
              <w:bottom w:val="single" w:sz="3" w:space="0" w:color="000000"/>
              <w:right w:val="nil"/>
            </w:tcBorders>
          </w:tcPr>
          <w:p w14:paraId="58FD0106" w14:textId="77777777" w:rsidR="00541219" w:rsidRDefault="00541219">
            <w:pPr>
              <w:spacing w:after="160"/>
              <w:ind w:left="0" w:firstLine="0"/>
            </w:pPr>
          </w:p>
        </w:tc>
      </w:tr>
      <w:tr w:rsidR="00541219" w14:paraId="1C8A44FC" w14:textId="77777777">
        <w:trPr>
          <w:trHeight w:val="442"/>
        </w:trPr>
        <w:tc>
          <w:tcPr>
            <w:tcW w:w="5344" w:type="dxa"/>
            <w:tcBorders>
              <w:top w:val="single" w:sz="3" w:space="0" w:color="000000"/>
              <w:left w:val="single" w:sz="3" w:space="0" w:color="000000"/>
              <w:bottom w:val="single" w:sz="3" w:space="0" w:color="000000"/>
              <w:right w:val="single" w:sz="3" w:space="0" w:color="000000"/>
            </w:tcBorders>
            <w:vAlign w:val="center"/>
          </w:tcPr>
          <w:p w14:paraId="62F48335" w14:textId="77777777" w:rsidR="00541219" w:rsidRDefault="00000000">
            <w:pPr>
              <w:spacing w:after="0"/>
              <w:ind w:left="994" w:firstLine="0"/>
            </w:pPr>
            <w:r>
              <w:rPr>
                <w:sz w:val="8"/>
              </w:rPr>
              <w:t xml:space="preserve">          III - desenvolverão ações para robustecer o nível de atendimento do serviço de eletricidade das áreas rurais, especialmente nas regiões com potencial para o agronegócio e a agricultura familiar, conforme regulação da Aneel; e</w:t>
            </w:r>
          </w:p>
        </w:tc>
        <w:tc>
          <w:tcPr>
            <w:tcW w:w="1229" w:type="dxa"/>
            <w:tcBorders>
              <w:top w:val="single" w:sz="3" w:space="0" w:color="000000"/>
              <w:left w:val="single" w:sz="3" w:space="0" w:color="000000"/>
              <w:bottom w:val="single" w:sz="3" w:space="0" w:color="000000"/>
              <w:right w:val="single" w:sz="3" w:space="0" w:color="000000"/>
            </w:tcBorders>
            <w:vAlign w:val="center"/>
          </w:tcPr>
          <w:p w14:paraId="595A7B45"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7F37D8EF" w14:textId="77777777" w:rsidR="00541219" w:rsidRDefault="00000000" w:rsidP="00C824F7">
            <w:pPr>
              <w:spacing w:after="0"/>
              <w:ind w:left="5" w:firstLine="0"/>
              <w:jc w:val="both"/>
            </w:pPr>
            <w:r>
              <w:t>Os consumidores não estão dispostos a terem incluídos em suas faturas de energia os investimentos desnecessários. A melhoria da resiliência por vezes passa pelo aumento das despesas operacionais em manutenção preventiva, principalmente o manejo de árvores nas áreas urbanas e rural.</w:t>
            </w:r>
          </w:p>
        </w:tc>
      </w:tr>
      <w:tr w:rsidR="00541219" w14:paraId="7A5AA0B0" w14:textId="77777777">
        <w:trPr>
          <w:trHeight w:val="442"/>
        </w:trPr>
        <w:tc>
          <w:tcPr>
            <w:tcW w:w="5344" w:type="dxa"/>
            <w:tcBorders>
              <w:top w:val="single" w:sz="3" w:space="0" w:color="000000"/>
              <w:left w:val="single" w:sz="3" w:space="0" w:color="000000"/>
              <w:bottom w:val="single" w:sz="3" w:space="0" w:color="000000"/>
              <w:right w:val="single" w:sz="3" w:space="0" w:color="000000"/>
            </w:tcBorders>
          </w:tcPr>
          <w:p w14:paraId="7F852A45" w14:textId="77777777" w:rsidR="00541219" w:rsidRDefault="00000000">
            <w:pPr>
              <w:spacing w:after="0"/>
              <w:ind w:left="994" w:right="2" w:firstLine="0"/>
            </w:pPr>
            <w:r>
              <w:rPr>
                <w:sz w:val="8"/>
              </w:rPr>
              <w:t xml:space="preserve">          IV - </w:t>
            </w:r>
            <w:proofErr w:type="gramStart"/>
            <w:r>
              <w:rPr>
                <w:sz w:val="8"/>
              </w:rPr>
              <w:t>desenvolverão</w:t>
            </w:r>
            <w:proofErr w:type="gramEnd"/>
            <w:r>
              <w:rPr>
                <w:sz w:val="8"/>
              </w:rPr>
              <w:t xml:space="preserve"> ações que promovam a inclusão energética, a redução de perdas não técnicas, a regularização da prestação do serviço público em áreas de vulnerabilidade socioeconômica e o desenvolvimento tecnológico para a redução da pobreza energética, conforme diretriz do Ministério de Minas e Energia.</w:t>
            </w:r>
          </w:p>
        </w:tc>
        <w:tc>
          <w:tcPr>
            <w:tcW w:w="1229" w:type="dxa"/>
            <w:tcBorders>
              <w:top w:val="single" w:sz="3" w:space="0" w:color="000000"/>
              <w:left w:val="single" w:sz="3" w:space="0" w:color="000000"/>
              <w:bottom w:val="single" w:sz="3" w:space="0" w:color="000000"/>
              <w:right w:val="single" w:sz="3" w:space="0" w:color="000000"/>
            </w:tcBorders>
            <w:vAlign w:val="center"/>
          </w:tcPr>
          <w:p w14:paraId="32B39825"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2EE09FAE" w14:textId="77777777" w:rsidR="00541219" w:rsidRDefault="00000000" w:rsidP="00C824F7">
            <w:pPr>
              <w:spacing w:after="0"/>
              <w:ind w:left="5" w:firstLine="0"/>
              <w:jc w:val="both"/>
            </w:pPr>
            <w:r>
              <w:t>O reforço de extensas áreas rurais, dependendo da concessão, poderá impactar significativamente a tarifa de todos os consumidores, por isso, análise de custo-benefício priorizado adequações com crescimento de mercado é fundamental.</w:t>
            </w:r>
          </w:p>
        </w:tc>
      </w:tr>
      <w:tr w:rsidR="00541219" w14:paraId="261A7A29"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01D36EE9" w14:textId="77777777" w:rsidR="00541219" w:rsidRDefault="00000000">
            <w:pPr>
              <w:spacing w:after="0"/>
              <w:ind w:left="497" w:firstLine="0"/>
            </w:pPr>
            <w:r>
              <w:rPr>
                <w:sz w:val="8"/>
              </w:rPr>
              <w:t xml:space="preserve">     • Possibilidade de reconhecimento de custos de capital e de operação entre revisões tarifárias, o que pode levar a efeito </w:t>
            </w:r>
            <w:proofErr w:type="spellStart"/>
            <w:r>
              <w:rPr>
                <w:sz w:val="8"/>
              </w:rPr>
              <w:t>Averch</w:t>
            </w:r>
            <w:proofErr w:type="spellEnd"/>
            <w:r>
              <w:rPr>
                <w:sz w:val="8"/>
              </w:rPr>
              <w:t>-Johnson;</w:t>
            </w:r>
          </w:p>
        </w:tc>
        <w:tc>
          <w:tcPr>
            <w:tcW w:w="4920" w:type="dxa"/>
            <w:gridSpan w:val="2"/>
            <w:vMerge w:val="restart"/>
            <w:tcBorders>
              <w:top w:val="single" w:sz="3" w:space="0" w:color="000000"/>
              <w:left w:val="single" w:sz="3" w:space="0" w:color="000000"/>
              <w:bottom w:val="single" w:sz="3" w:space="0" w:color="000000"/>
              <w:right w:val="nil"/>
            </w:tcBorders>
          </w:tcPr>
          <w:p w14:paraId="27529492" w14:textId="77777777" w:rsidR="00541219" w:rsidRDefault="00541219">
            <w:pPr>
              <w:spacing w:after="160"/>
              <w:ind w:left="0" w:firstLine="0"/>
            </w:pPr>
          </w:p>
        </w:tc>
      </w:tr>
      <w:tr w:rsidR="00541219" w14:paraId="55EDBDA7"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60CD4E8F" w14:textId="77777777" w:rsidR="00541219" w:rsidRDefault="00000000">
            <w:pPr>
              <w:spacing w:after="0"/>
              <w:ind w:left="497" w:firstLine="0"/>
            </w:pPr>
            <w:r>
              <w:rPr>
                <w:sz w:val="8"/>
              </w:rPr>
              <w:t xml:space="preserve">     • Possibilidade de alteração de modelo econômico, o que pode afetar o risco a que a distribuidora se submete (de mercado), e, portanto, o custo de capital do negócio.</w:t>
            </w:r>
          </w:p>
        </w:tc>
        <w:tc>
          <w:tcPr>
            <w:tcW w:w="0" w:type="auto"/>
            <w:gridSpan w:val="2"/>
            <w:vMerge/>
            <w:tcBorders>
              <w:top w:val="nil"/>
              <w:left w:val="single" w:sz="3" w:space="0" w:color="000000"/>
              <w:bottom w:val="nil"/>
              <w:right w:val="nil"/>
            </w:tcBorders>
          </w:tcPr>
          <w:p w14:paraId="3F4BB1B8" w14:textId="77777777" w:rsidR="00541219" w:rsidRDefault="00541219">
            <w:pPr>
              <w:spacing w:after="160"/>
              <w:ind w:left="0" w:firstLine="0"/>
            </w:pPr>
          </w:p>
        </w:tc>
      </w:tr>
      <w:tr w:rsidR="00541219" w14:paraId="2AEC2EC4" w14:textId="77777777">
        <w:trPr>
          <w:trHeight w:val="140"/>
        </w:trPr>
        <w:tc>
          <w:tcPr>
            <w:tcW w:w="5344" w:type="dxa"/>
            <w:tcBorders>
              <w:top w:val="single" w:sz="3" w:space="0" w:color="000000"/>
              <w:left w:val="single" w:sz="3" w:space="0" w:color="000000"/>
              <w:bottom w:val="double" w:sz="3" w:space="0" w:color="000000"/>
              <w:right w:val="single" w:sz="3" w:space="0" w:color="000000"/>
            </w:tcBorders>
          </w:tcPr>
          <w:p w14:paraId="1C919965" w14:textId="77777777" w:rsidR="00541219" w:rsidRDefault="00000000">
            <w:pPr>
              <w:spacing w:after="0"/>
              <w:ind w:left="0" w:firstLine="0"/>
            </w:pPr>
            <w:r>
              <w:rPr>
                <w:sz w:val="8"/>
              </w:rPr>
              <w:t>112. Cada item acima listado é tratado de forma específica ao longo desta Nota Técnica.</w:t>
            </w:r>
          </w:p>
        </w:tc>
        <w:tc>
          <w:tcPr>
            <w:tcW w:w="0" w:type="auto"/>
            <w:gridSpan w:val="2"/>
            <w:vMerge/>
            <w:tcBorders>
              <w:top w:val="nil"/>
              <w:left w:val="single" w:sz="3" w:space="0" w:color="000000"/>
              <w:bottom w:val="nil"/>
              <w:right w:val="nil"/>
            </w:tcBorders>
          </w:tcPr>
          <w:p w14:paraId="18B6767C" w14:textId="77777777" w:rsidR="00541219" w:rsidRDefault="00541219">
            <w:pPr>
              <w:spacing w:after="160"/>
              <w:ind w:left="0" w:firstLine="0"/>
            </w:pPr>
          </w:p>
        </w:tc>
      </w:tr>
      <w:tr w:rsidR="00541219" w14:paraId="2B7C36B0" w14:textId="77777777">
        <w:trPr>
          <w:trHeight w:val="234"/>
        </w:trPr>
        <w:tc>
          <w:tcPr>
            <w:tcW w:w="5344" w:type="dxa"/>
            <w:tcBorders>
              <w:top w:val="double" w:sz="3" w:space="0" w:color="000000"/>
              <w:left w:val="single" w:sz="3" w:space="0" w:color="000000"/>
              <w:bottom w:val="single" w:sz="3" w:space="0" w:color="000000"/>
              <w:right w:val="single" w:sz="3" w:space="0" w:color="000000"/>
            </w:tcBorders>
          </w:tcPr>
          <w:p w14:paraId="41CAE620" w14:textId="77777777" w:rsidR="00541219" w:rsidRDefault="00000000">
            <w:pPr>
              <w:spacing w:after="0"/>
              <w:ind w:left="0" w:firstLine="0"/>
            </w:pPr>
            <w:r>
              <w:rPr>
                <w:sz w:val="8"/>
              </w:rPr>
              <w:t>III.1.3.1 – Autorização para a concessionária exercer outras atividades empresariais e oferecer novos serviços aos usuários</w:t>
            </w:r>
          </w:p>
          <w:p w14:paraId="1FEB3A0F" w14:textId="77777777" w:rsidR="00541219" w:rsidRDefault="00000000">
            <w:pPr>
              <w:spacing w:after="0"/>
              <w:ind w:left="0" w:firstLine="0"/>
              <w:jc w:val="both"/>
            </w:pPr>
            <w:r>
              <w:rPr>
                <w:sz w:val="8"/>
              </w:rPr>
              <w:t>113. A autorização para a concessionária exercer outras atividades empresariais e oferecer novos serviços aos usuários, por sua conta e risco, devem favorecer a modicidade tarifária, nos termos e nas condições previstas na legislação e na regulação da Aneel, de acordo com:</w:t>
            </w:r>
          </w:p>
        </w:tc>
        <w:tc>
          <w:tcPr>
            <w:tcW w:w="0" w:type="auto"/>
            <w:gridSpan w:val="2"/>
            <w:vMerge/>
            <w:tcBorders>
              <w:top w:val="nil"/>
              <w:left w:val="single" w:sz="3" w:space="0" w:color="000000"/>
              <w:bottom w:val="nil"/>
              <w:right w:val="nil"/>
            </w:tcBorders>
          </w:tcPr>
          <w:p w14:paraId="1E1F2286" w14:textId="77777777" w:rsidR="00541219" w:rsidRDefault="00541219">
            <w:pPr>
              <w:spacing w:after="160"/>
              <w:ind w:left="0" w:firstLine="0"/>
            </w:pPr>
          </w:p>
        </w:tc>
      </w:tr>
      <w:tr w:rsidR="00541219" w14:paraId="4390CC76"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574AC6C4" w14:textId="77777777" w:rsidR="00541219" w:rsidRDefault="00000000">
            <w:pPr>
              <w:spacing w:after="0" w:line="252" w:lineRule="auto"/>
              <w:ind w:left="497" w:firstLine="0"/>
            </w:pPr>
            <w:r>
              <w:rPr>
                <w:sz w:val="8"/>
              </w:rPr>
              <w:t xml:space="preserve">     a) o exercício das atividades e dos serviços estará sujeito à autorização da Aneel, que poderá determinar, por meio de regulação, os requisitos a serem cumpridos pelas concessionárias, incluída a opção de restringir a atuação dessas atividades pelas distribuidoras, </w:t>
            </w:r>
          </w:p>
          <w:p w14:paraId="6AB83C52" w14:textId="77777777" w:rsidR="00541219" w:rsidRDefault="00000000">
            <w:pPr>
              <w:spacing w:after="0"/>
              <w:ind w:left="497" w:firstLine="0"/>
            </w:pPr>
            <w:r>
              <w:rPr>
                <w:sz w:val="8"/>
              </w:rPr>
              <w:t>observados os critérios concorrenciais da nova atividade e os padrões de qualidade do serviço de distribuição e do atendimento comercial, sem prejuízo da competência de outras autoridades; e</w:t>
            </w:r>
          </w:p>
        </w:tc>
        <w:tc>
          <w:tcPr>
            <w:tcW w:w="0" w:type="auto"/>
            <w:gridSpan w:val="2"/>
            <w:vMerge/>
            <w:tcBorders>
              <w:top w:val="nil"/>
              <w:left w:val="single" w:sz="3" w:space="0" w:color="000000"/>
              <w:bottom w:val="nil"/>
              <w:right w:val="nil"/>
            </w:tcBorders>
          </w:tcPr>
          <w:p w14:paraId="38EEFDF1" w14:textId="77777777" w:rsidR="00541219" w:rsidRDefault="00541219">
            <w:pPr>
              <w:spacing w:after="160"/>
              <w:ind w:left="0" w:firstLine="0"/>
            </w:pPr>
          </w:p>
        </w:tc>
      </w:tr>
      <w:tr w:rsidR="00541219" w14:paraId="0C70679F"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25009067" w14:textId="77777777" w:rsidR="00541219" w:rsidRDefault="00000000">
            <w:pPr>
              <w:spacing w:after="0"/>
              <w:ind w:left="497" w:firstLine="0"/>
              <w:jc w:val="both"/>
            </w:pPr>
            <w:r>
              <w:rPr>
                <w:sz w:val="8"/>
              </w:rPr>
              <w:t xml:space="preserve">     b) a arrecadação de tributos na fatura de energia elétrica decorrente de obrigação constitucional ou legal não será considerada atividade empresarial ou fonte de receitas alternativas, complementares e acessórias.</w:t>
            </w:r>
          </w:p>
        </w:tc>
        <w:tc>
          <w:tcPr>
            <w:tcW w:w="0" w:type="auto"/>
            <w:gridSpan w:val="2"/>
            <w:vMerge/>
            <w:tcBorders>
              <w:top w:val="nil"/>
              <w:left w:val="single" w:sz="3" w:space="0" w:color="000000"/>
              <w:bottom w:val="single" w:sz="3" w:space="0" w:color="000000"/>
              <w:right w:val="nil"/>
            </w:tcBorders>
          </w:tcPr>
          <w:p w14:paraId="21B0887A" w14:textId="77777777" w:rsidR="00541219" w:rsidRDefault="00541219">
            <w:pPr>
              <w:spacing w:after="160"/>
              <w:ind w:left="0" w:firstLine="0"/>
            </w:pPr>
          </w:p>
        </w:tc>
      </w:tr>
      <w:tr w:rsidR="00541219" w14:paraId="51C7C423" w14:textId="77777777">
        <w:trPr>
          <w:trHeight w:val="442"/>
        </w:trPr>
        <w:tc>
          <w:tcPr>
            <w:tcW w:w="5344" w:type="dxa"/>
            <w:tcBorders>
              <w:top w:val="single" w:sz="3" w:space="0" w:color="000000"/>
              <w:left w:val="single" w:sz="3" w:space="0" w:color="000000"/>
              <w:bottom w:val="single" w:sz="3" w:space="0" w:color="000000"/>
              <w:right w:val="single" w:sz="3" w:space="0" w:color="000000"/>
            </w:tcBorders>
          </w:tcPr>
          <w:p w14:paraId="4F43F42F" w14:textId="77777777" w:rsidR="00541219" w:rsidRDefault="00000000">
            <w:pPr>
              <w:spacing w:after="0"/>
              <w:ind w:left="0" w:right="18" w:firstLine="0"/>
            </w:pPr>
            <w:r>
              <w:rPr>
                <w:sz w:val="8"/>
              </w:rPr>
              <w:t>114. O Decreto 12.068/2024 estabelece a diretriz de autorizar as concessionárias a oferecerem novos serviços aos consumidores, por sua conta e risco, o que deve favorecer a modicidade tarifária. Segundo a Nota Técnica no 14/2023/SAER/SE, que motivou este normativo, essa diretriz permitiria a oferta de serviços acessórios, podendo a ANEEL autorizar maiores ou menores repasses, dependendo do grau de competição do serviço e do nível de atendimento da concessionária às metas de qualidade ou outros critérios relevantes.</w:t>
            </w:r>
          </w:p>
        </w:tc>
        <w:tc>
          <w:tcPr>
            <w:tcW w:w="1229" w:type="dxa"/>
            <w:tcBorders>
              <w:top w:val="single" w:sz="3" w:space="0" w:color="000000"/>
              <w:left w:val="single" w:sz="3" w:space="0" w:color="000000"/>
              <w:bottom w:val="single" w:sz="3" w:space="0" w:color="000000"/>
              <w:right w:val="single" w:sz="3" w:space="0" w:color="000000"/>
            </w:tcBorders>
            <w:vAlign w:val="center"/>
          </w:tcPr>
          <w:p w14:paraId="7CFB9C77"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5BAE88ED" w14:textId="15CBA144" w:rsidR="00541219" w:rsidRDefault="00000000" w:rsidP="00C824F7">
            <w:pPr>
              <w:spacing w:after="0"/>
              <w:ind w:left="5" w:right="329" w:firstLine="0"/>
              <w:jc w:val="both"/>
            </w:pPr>
            <w:r>
              <w:t>As outras atividades empresariais que possam fornecer um serviço diferenciado a consumidores que o requisitem ou em situações</w:t>
            </w:r>
            <w:r w:rsidR="00C824F7">
              <w:t>,</w:t>
            </w:r>
            <w:r>
              <w:t xml:space="preserve"> os me</w:t>
            </w:r>
            <w:r w:rsidR="00C824F7">
              <w:t>m</w:t>
            </w:r>
            <w:r>
              <w:t>os ativos tenham uso compartilhado podem complementar o faturamento e parte deve ser destinada à modicidade tarifária.</w:t>
            </w:r>
          </w:p>
        </w:tc>
      </w:tr>
      <w:tr w:rsidR="00541219" w14:paraId="17601480"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77BC5CF6" w14:textId="77777777" w:rsidR="00541219" w:rsidRDefault="00000000">
            <w:pPr>
              <w:spacing w:after="0"/>
              <w:ind w:left="0" w:right="22" w:firstLine="0"/>
              <w:jc w:val="both"/>
            </w:pPr>
            <w:r>
              <w:rPr>
                <w:sz w:val="8"/>
              </w:rPr>
              <w:t>115. Essa mesma diretriz foi corroborada na avaliação trazida na Nota Técnica no 19/2023/SAER/SE, que consolidou a avaliação da temática anteriormente à publicação do mencionado Decreto. Assim, podem surgir novas atividades ou serviços que poderiam ser prestados por quaisquer fornecedores em um ambiente competitivo, e, não obstante, havendo a flexibilidade contratual, poderiam ser autorizados a serem prestados, observando-se determinados critérios, pela distribuidora de energia.</w:t>
            </w:r>
          </w:p>
        </w:tc>
        <w:tc>
          <w:tcPr>
            <w:tcW w:w="4920" w:type="dxa"/>
            <w:gridSpan w:val="2"/>
            <w:vMerge w:val="restart"/>
            <w:tcBorders>
              <w:top w:val="single" w:sz="3" w:space="0" w:color="000000"/>
              <w:left w:val="single" w:sz="3" w:space="0" w:color="000000"/>
              <w:bottom w:val="nil"/>
              <w:right w:val="nil"/>
            </w:tcBorders>
          </w:tcPr>
          <w:p w14:paraId="104738F0" w14:textId="77777777" w:rsidR="00541219" w:rsidRDefault="00541219">
            <w:pPr>
              <w:spacing w:after="160"/>
              <w:ind w:left="0" w:firstLine="0"/>
            </w:pPr>
          </w:p>
        </w:tc>
      </w:tr>
      <w:tr w:rsidR="00541219" w14:paraId="0832A92F" w14:textId="77777777">
        <w:trPr>
          <w:trHeight w:val="470"/>
        </w:trPr>
        <w:tc>
          <w:tcPr>
            <w:tcW w:w="5344" w:type="dxa"/>
            <w:tcBorders>
              <w:top w:val="single" w:sz="3" w:space="0" w:color="000000"/>
              <w:left w:val="single" w:sz="3" w:space="0" w:color="000000"/>
              <w:bottom w:val="single" w:sz="3" w:space="0" w:color="000000"/>
              <w:right w:val="single" w:sz="3" w:space="0" w:color="000000"/>
            </w:tcBorders>
          </w:tcPr>
          <w:p w14:paraId="5BFF26A6" w14:textId="77777777" w:rsidR="00541219" w:rsidRDefault="00000000">
            <w:pPr>
              <w:spacing w:after="0"/>
              <w:ind w:left="0" w:firstLine="0"/>
            </w:pPr>
            <w:r>
              <w:rPr>
                <w:sz w:val="8"/>
              </w:rPr>
              <w:t>116. Entre os tipos de negócios potencialmente prestados por uma concessionária de distribuição, a Nota Técnica MME no 14 /2023/SAER/SE cita serviços de flexibilidade e ancilares, instalação de medidores e estações de recarga elétrica, entre outros. Importante destacar que, tanto as Notas Técnicas MME no 14 /2023/SAER/SE e no 19 /2023/SAER/SE, quanto o próprio Decreto no 12.068, de 2024, deixam evidente que, se por um lado, um contrato de longo prazo deve conter alguma flexibilidade para prestação de novos serviços pela distribuidora, por outro lado, é necessário que as novas cláusulas contratuais tragam incentivos para a exploração desses serviços em bases concorrenciais.</w:t>
            </w:r>
          </w:p>
        </w:tc>
        <w:tc>
          <w:tcPr>
            <w:tcW w:w="0" w:type="auto"/>
            <w:gridSpan w:val="2"/>
            <w:vMerge/>
            <w:tcBorders>
              <w:top w:val="nil"/>
              <w:left w:val="single" w:sz="3" w:space="0" w:color="000000"/>
              <w:bottom w:val="nil"/>
              <w:right w:val="nil"/>
            </w:tcBorders>
          </w:tcPr>
          <w:p w14:paraId="667A9854" w14:textId="77777777" w:rsidR="00541219" w:rsidRDefault="00541219">
            <w:pPr>
              <w:spacing w:after="160"/>
              <w:ind w:left="0" w:firstLine="0"/>
            </w:pPr>
          </w:p>
        </w:tc>
      </w:tr>
      <w:tr w:rsidR="00541219" w14:paraId="3DFA0F9C" w14:textId="77777777">
        <w:trPr>
          <w:trHeight w:val="564"/>
        </w:trPr>
        <w:tc>
          <w:tcPr>
            <w:tcW w:w="5344" w:type="dxa"/>
            <w:tcBorders>
              <w:top w:val="single" w:sz="3" w:space="0" w:color="000000"/>
              <w:left w:val="single" w:sz="3" w:space="0" w:color="000000"/>
              <w:bottom w:val="single" w:sz="3" w:space="0" w:color="000000"/>
              <w:right w:val="single" w:sz="3" w:space="0" w:color="000000"/>
            </w:tcBorders>
          </w:tcPr>
          <w:p w14:paraId="1A911B4F" w14:textId="77777777" w:rsidR="00541219" w:rsidRDefault="00000000">
            <w:pPr>
              <w:spacing w:after="0"/>
              <w:ind w:left="0" w:right="17" w:firstLine="0"/>
            </w:pPr>
            <w:r>
              <w:rPr>
                <w:sz w:val="8"/>
              </w:rPr>
              <w:t>117. Contudo, cabe ressaltar que a distribuidora, exercendo outras atividades empresariais em bases concorrenciais, compartilhará a infraestrutura e recursos humanos do serviço público de distribuição, um monopólio natural, em uma mesma empresa e CNPJ. Esse acesso aos recursos propiciados pela concessão do serviço público pode diferenciar e conferir vantagem competitiva à distribuidora em relação aos demais competidores do mercado daquela atividade empresarial ou serviço a ser permitido. A distribuidora estaria estrategicamente posicionada e seu poder de mercado e eventuais condutas poderiam até mesmo eliminar concorrentes. Há, portanto, risco de que a distribuidora – monopolista – possa distorcer a concorrência.</w:t>
            </w:r>
          </w:p>
        </w:tc>
        <w:tc>
          <w:tcPr>
            <w:tcW w:w="0" w:type="auto"/>
            <w:gridSpan w:val="2"/>
            <w:vMerge/>
            <w:tcBorders>
              <w:top w:val="nil"/>
              <w:left w:val="single" w:sz="3" w:space="0" w:color="000000"/>
              <w:bottom w:val="nil"/>
              <w:right w:val="nil"/>
            </w:tcBorders>
          </w:tcPr>
          <w:p w14:paraId="4BD1781F" w14:textId="77777777" w:rsidR="00541219" w:rsidRDefault="00541219">
            <w:pPr>
              <w:spacing w:after="160"/>
              <w:ind w:left="0" w:firstLine="0"/>
            </w:pPr>
          </w:p>
        </w:tc>
      </w:tr>
      <w:tr w:rsidR="00541219" w14:paraId="66BAAAD4" w14:textId="77777777">
        <w:trPr>
          <w:trHeight w:val="564"/>
        </w:trPr>
        <w:tc>
          <w:tcPr>
            <w:tcW w:w="5344" w:type="dxa"/>
            <w:tcBorders>
              <w:top w:val="single" w:sz="3" w:space="0" w:color="000000"/>
              <w:left w:val="single" w:sz="3" w:space="0" w:color="000000"/>
              <w:bottom w:val="single" w:sz="3" w:space="0" w:color="000000"/>
              <w:right w:val="single" w:sz="3" w:space="0" w:color="000000"/>
            </w:tcBorders>
          </w:tcPr>
          <w:p w14:paraId="3D359F0D" w14:textId="77777777" w:rsidR="00541219" w:rsidRDefault="00000000">
            <w:pPr>
              <w:spacing w:after="0"/>
              <w:ind w:left="0" w:right="10" w:firstLine="0"/>
            </w:pPr>
            <w:r>
              <w:rPr>
                <w:sz w:val="8"/>
              </w:rPr>
              <w:t>118. Existe ainda a possibilidade de transferência de custos e despesas, ganhos e receitas de uma atividade para a outra. O que poderia mitigar esse risco seria alguma separação de atividades mais efetiva, tais como separação de propriedade ou até mesmo separação jurídica, o que não seria o caso. Portanto, é preciso reforçar o cuidado com a preservação do equilíbrio econômico-financeiro da concessão. Nesse contexto, obter dados que possam separar os componentes dos resultados de cada atividade para alimentar e retroalimentar a regulação, o monitoramento e a fiscalização da ANEEL, por meio de separação contábil das atividades, é uma forma de contribuir para mitigar o risco que a concorrência pode significar.</w:t>
            </w:r>
          </w:p>
        </w:tc>
        <w:tc>
          <w:tcPr>
            <w:tcW w:w="0" w:type="auto"/>
            <w:gridSpan w:val="2"/>
            <w:vMerge/>
            <w:tcBorders>
              <w:top w:val="nil"/>
              <w:left w:val="single" w:sz="3" w:space="0" w:color="000000"/>
              <w:bottom w:val="nil"/>
              <w:right w:val="nil"/>
            </w:tcBorders>
          </w:tcPr>
          <w:p w14:paraId="4D238539" w14:textId="77777777" w:rsidR="00541219" w:rsidRDefault="00541219">
            <w:pPr>
              <w:spacing w:after="160"/>
              <w:ind w:left="0" w:firstLine="0"/>
            </w:pPr>
          </w:p>
        </w:tc>
      </w:tr>
      <w:tr w:rsidR="00541219" w14:paraId="106B5A58"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22388007" w14:textId="77777777" w:rsidR="00541219" w:rsidRDefault="00000000">
            <w:pPr>
              <w:spacing w:after="0"/>
              <w:ind w:left="0" w:firstLine="0"/>
            </w:pPr>
            <w:r>
              <w:rPr>
                <w:sz w:val="8"/>
              </w:rPr>
              <w:t>119. Uma vez que cabe à ANEEL regulamentar esse tema, a Agência pode oportunamente avaliar a autorização de repasses à empresa e à modicidade tarifária, a depender do grau de competição a que o serviço esteja sujeito ou até mesmo não permitir a nova atividade, tendo em vista o risco de que a distribuidora, compartilhando infraestrutura e recursos humanos, possa diminuir a concorrência ou eliminar concorrentes do mercado. Entretanto, esse é um tema a ser regulamentado e oportunamente discutido no âmbito da definição das regras.</w:t>
            </w:r>
          </w:p>
        </w:tc>
        <w:tc>
          <w:tcPr>
            <w:tcW w:w="0" w:type="auto"/>
            <w:gridSpan w:val="2"/>
            <w:vMerge/>
            <w:tcBorders>
              <w:top w:val="nil"/>
              <w:left w:val="single" w:sz="3" w:space="0" w:color="000000"/>
              <w:bottom w:val="nil"/>
              <w:right w:val="nil"/>
            </w:tcBorders>
          </w:tcPr>
          <w:p w14:paraId="6C944D6E" w14:textId="77777777" w:rsidR="00541219" w:rsidRDefault="00541219">
            <w:pPr>
              <w:spacing w:after="160"/>
              <w:ind w:left="0" w:firstLine="0"/>
            </w:pPr>
          </w:p>
        </w:tc>
      </w:tr>
      <w:tr w:rsidR="00541219" w14:paraId="76FB96B8"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01758C4F" w14:textId="77777777" w:rsidR="00541219" w:rsidRDefault="00000000">
            <w:pPr>
              <w:spacing w:after="0"/>
              <w:ind w:left="0" w:firstLine="0"/>
            </w:pPr>
            <w:r>
              <w:rPr>
                <w:sz w:val="8"/>
              </w:rPr>
              <w:t xml:space="preserve">120. Em relação ao tema, observa-se que a ANEEL já possui regulação, no Capítulo IX do Título II da REN no 1.000/2021 e no Submódulo 2.7 dos Procedimentos de Regulação Tarifária – </w:t>
            </w:r>
            <w:proofErr w:type="spellStart"/>
            <w:r>
              <w:rPr>
                <w:sz w:val="8"/>
              </w:rPr>
              <w:t>Proret</w:t>
            </w:r>
            <w:proofErr w:type="spellEnd"/>
            <w:r>
              <w:rPr>
                <w:sz w:val="8"/>
              </w:rPr>
              <w:t>. Nessa regulação está prevista uma lista de atividades que a distribuidora já pode prestar (art. 629), bem como se permite que a distribuidora exerça outras atividades desde que haja prévia autorização pela ANEEL.</w:t>
            </w:r>
          </w:p>
        </w:tc>
        <w:tc>
          <w:tcPr>
            <w:tcW w:w="0" w:type="auto"/>
            <w:gridSpan w:val="2"/>
            <w:vMerge/>
            <w:tcBorders>
              <w:top w:val="nil"/>
              <w:left w:val="single" w:sz="3" w:space="0" w:color="000000"/>
              <w:bottom w:val="nil"/>
              <w:right w:val="nil"/>
            </w:tcBorders>
          </w:tcPr>
          <w:p w14:paraId="159457DE" w14:textId="77777777" w:rsidR="00541219" w:rsidRDefault="00541219">
            <w:pPr>
              <w:spacing w:after="160"/>
              <w:ind w:left="0" w:firstLine="0"/>
            </w:pPr>
          </w:p>
        </w:tc>
      </w:tr>
      <w:tr w:rsidR="00541219" w14:paraId="34F1131C" w14:textId="77777777">
        <w:trPr>
          <w:trHeight w:val="564"/>
        </w:trPr>
        <w:tc>
          <w:tcPr>
            <w:tcW w:w="5344" w:type="dxa"/>
            <w:tcBorders>
              <w:top w:val="single" w:sz="3" w:space="0" w:color="000000"/>
              <w:left w:val="single" w:sz="3" w:space="0" w:color="000000"/>
              <w:bottom w:val="single" w:sz="3" w:space="0" w:color="000000"/>
              <w:right w:val="single" w:sz="3" w:space="0" w:color="000000"/>
            </w:tcBorders>
          </w:tcPr>
          <w:p w14:paraId="2CD20998" w14:textId="77777777" w:rsidR="00541219" w:rsidRDefault="00000000">
            <w:pPr>
              <w:spacing w:after="0"/>
              <w:ind w:left="0" w:firstLine="0"/>
            </w:pPr>
            <w:r>
              <w:rPr>
                <w:sz w:val="8"/>
              </w:rPr>
              <w:t>121. O art. 647 da REN no 1.000/2021 também prevê que a ANEEL pode suspender total ou parcialmente a execução das atividades acessórias pela distribuidora quando estas prejudicarem a prestação do serviço adequado ou contribuírem para a violação dos limites dos indicadores de qualidade estabelecidos. De fato, é essencial assegurar que a ANEEL possa restringir o exercício de atividades empresariais que possam comprometer a prestação prioritária do serviço público de distribuição apenas a distribuidoras que atendam a determinados critérios regulatórios, como por exemplo, metas de qualidade. Serviços não passíveis de monopólio natural realizados por concessionárias apresentam o risco de permeabilidade de custos entre o serviço regulado e o serviço não regulado.</w:t>
            </w:r>
          </w:p>
        </w:tc>
        <w:tc>
          <w:tcPr>
            <w:tcW w:w="0" w:type="auto"/>
            <w:gridSpan w:val="2"/>
            <w:vMerge/>
            <w:tcBorders>
              <w:top w:val="nil"/>
              <w:left w:val="single" w:sz="3" w:space="0" w:color="000000"/>
              <w:bottom w:val="nil"/>
              <w:right w:val="nil"/>
            </w:tcBorders>
          </w:tcPr>
          <w:p w14:paraId="10C6C7F1" w14:textId="77777777" w:rsidR="00541219" w:rsidRDefault="00541219">
            <w:pPr>
              <w:spacing w:after="160"/>
              <w:ind w:left="0" w:firstLine="0"/>
            </w:pPr>
          </w:p>
        </w:tc>
      </w:tr>
      <w:tr w:rsidR="00541219" w14:paraId="2213F79C"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1F76F99B" w14:textId="77777777" w:rsidR="00541219" w:rsidRDefault="00000000">
            <w:pPr>
              <w:spacing w:after="0"/>
              <w:ind w:left="0" w:firstLine="0"/>
            </w:pPr>
            <w:r>
              <w:rPr>
                <w:sz w:val="8"/>
              </w:rPr>
              <w:t>122. Nesse sentido, sugere-se atualizar a Subcláusula Quinta da Cláusula Primeira, que já prevê a exploração de outras atividades empresariais pelas distribuidoras, desde que essas atividades favoreçam a modicidade tarifária e atendam às condições previstas na legislação e na regulação da ANEEL, conforme texto a seguir:</w:t>
            </w:r>
          </w:p>
        </w:tc>
        <w:tc>
          <w:tcPr>
            <w:tcW w:w="0" w:type="auto"/>
            <w:gridSpan w:val="2"/>
            <w:vMerge/>
            <w:tcBorders>
              <w:top w:val="nil"/>
              <w:left w:val="single" w:sz="3" w:space="0" w:color="000000"/>
              <w:bottom w:val="nil"/>
              <w:right w:val="nil"/>
            </w:tcBorders>
          </w:tcPr>
          <w:p w14:paraId="32528062" w14:textId="77777777" w:rsidR="00541219" w:rsidRDefault="00541219">
            <w:pPr>
              <w:spacing w:after="160"/>
              <w:ind w:left="0" w:firstLine="0"/>
            </w:pPr>
          </w:p>
        </w:tc>
      </w:tr>
      <w:tr w:rsidR="00541219" w14:paraId="2B2222A0"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730EE480" w14:textId="77777777" w:rsidR="00541219" w:rsidRDefault="00000000">
            <w:pPr>
              <w:spacing w:after="0"/>
              <w:ind w:left="497" w:right="10" w:firstLine="0"/>
            </w:pPr>
            <w:r>
              <w:rPr>
                <w:sz w:val="8"/>
              </w:rPr>
              <w:t xml:space="preserve">     Subcláusula Quinta – A DISTRIBUIDORA aceita que a exploração do serviço público de distribuição de energia elétrica, de que é titular, seja realizada como função de utilidade pública prioritária, comprometendo-se a somente exercer outras atividades empresariais nos termos e condições previstas na legislação e na regulação da ANEEL, observando-se que:</w:t>
            </w:r>
          </w:p>
        </w:tc>
        <w:tc>
          <w:tcPr>
            <w:tcW w:w="0" w:type="auto"/>
            <w:gridSpan w:val="2"/>
            <w:vMerge/>
            <w:tcBorders>
              <w:top w:val="nil"/>
              <w:left w:val="single" w:sz="3" w:space="0" w:color="000000"/>
              <w:bottom w:val="nil"/>
              <w:right w:val="nil"/>
            </w:tcBorders>
          </w:tcPr>
          <w:p w14:paraId="1D60F19F" w14:textId="77777777" w:rsidR="00541219" w:rsidRDefault="00541219">
            <w:pPr>
              <w:spacing w:after="160"/>
              <w:ind w:left="0" w:firstLine="0"/>
            </w:pPr>
          </w:p>
        </w:tc>
      </w:tr>
      <w:tr w:rsidR="00541219" w14:paraId="512A6FB9"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57972100" w14:textId="77777777" w:rsidR="00541219" w:rsidRDefault="00000000">
            <w:pPr>
              <w:spacing w:after="0"/>
              <w:ind w:left="497" w:firstLine="0"/>
              <w:jc w:val="both"/>
            </w:pPr>
            <w:r>
              <w:rPr>
                <w:sz w:val="8"/>
              </w:rPr>
              <w:t xml:space="preserve">          I. o exercício de outras atividades e outros serviços estará sujeito à autorização da ANEEL, por meio de regulação ou por autorização específica da ANEEL;</w:t>
            </w:r>
          </w:p>
        </w:tc>
        <w:tc>
          <w:tcPr>
            <w:tcW w:w="0" w:type="auto"/>
            <w:gridSpan w:val="2"/>
            <w:vMerge/>
            <w:tcBorders>
              <w:top w:val="nil"/>
              <w:left w:val="single" w:sz="3" w:space="0" w:color="000000"/>
              <w:bottom w:val="nil"/>
              <w:right w:val="nil"/>
            </w:tcBorders>
          </w:tcPr>
          <w:p w14:paraId="5BD9E4C6" w14:textId="77777777" w:rsidR="00541219" w:rsidRDefault="00541219">
            <w:pPr>
              <w:spacing w:after="160"/>
              <w:ind w:left="0" w:firstLine="0"/>
            </w:pPr>
          </w:p>
        </w:tc>
      </w:tr>
      <w:tr w:rsidR="00541219" w14:paraId="01D9AFDD"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640CE658" w14:textId="77777777" w:rsidR="00541219" w:rsidRDefault="00000000">
            <w:pPr>
              <w:spacing w:after="0"/>
              <w:ind w:left="497" w:firstLine="0"/>
            </w:pPr>
            <w:r>
              <w:rPr>
                <w:sz w:val="8"/>
              </w:rPr>
              <w:t xml:space="preserve">          II. a autorização para a DISTRIBUIDORA exercer outras atividades empresariais e oferecer novos serviços aos usuários será por sua conta e risco e deve favorecer a modicidade tarifária;</w:t>
            </w:r>
          </w:p>
        </w:tc>
        <w:tc>
          <w:tcPr>
            <w:tcW w:w="0" w:type="auto"/>
            <w:gridSpan w:val="2"/>
            <w:vMerge/>
            <w:tcBorders>
              <w:top w:val="nil"/>
              <w:left w:val="single" w:sz="3" w:space="0" w:color="000000"/>
              <w:bottom w:val="nil"/>
              <w:right w:val="nil"/>
            </w:tcBorders>
          </w:tcPr>
          <w:p w14:paraId="5DEDAB83" w14:textId="77777777" w:rsidR="00541219" w:rsidRDefault="00541219">
            <w:pPr>
              <w:spacing w:after="160"/>
              <w:ind w:left="0" w:firstLine="0"/>
            </w:pPr>
          </w:p>
        </w:tc>
      </w:tr>
      <w:tr w:rsidR="00541219" w14:paraId="7FFEE0BD"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173C5AA6" w14:textId="77777777" w:rsidR="00541219" w:rsidRDefault="00000000">
            <w:pPr>
              <w:spacing w:after="0"/>
              <w:ind w:left="497" w:right="18" w:firstLine="0"/>
            </w:pPr>
            <w:r>
              <w:rPr>
                <w:sz w:val="8"/>
              </w:rPr>
              <w:t xml:space="preserve">          III. a regulação da ANEEL poderá estabelecer os requisitos a serem cumpridos pela DISTRIBUIDORA, incluída a opção de restringir a atuação dessas atividades, observados os critérios concorrenciais da nova atividade e os padrões de qualidade do serviço de distribuição e do atendimento comercial, sem prejuízo da competência de outras autoridades; e</w:t>
            </w:r>
          </w:p>
        </w:tc>
        <w:tc>
          <w:tcPr>
            <w:tcW w:w="0" w:type="auto"/>
            <w:gridSpan w:val="2"/>
            <w:vMerge/>
            <w:tcBorders>
              <w:top w:val="nil"/>
              <w:left w:val="single" w:sz="3" w:space="0" w:color="000000"/>
              <w:bottom w:val="nil"/>
              <w:right w:val="nil"/>
            </w:tcBorders>
          </w:tcPr>
          <w:p w14:paraId="016E4FFA" w14:textId="77777777" w:rsidR="00541219" w:rsidRDefault="00541219">
            <w:pPr>
              <w:spacing w:after="160"/>
              <w:ind w:left="0" w:firstLine="0"/>
            </w:pPr>
          </w:p>
        </w:tc>
      </w:tr>
      <w:tr w:rsidR="00541219" w14:paraId="02200393"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7000B855" w14:textId="77777777" w:rsidR="00541219" w:rsidRDefault="00000000">
            <w:pPr>
              <w:spacing w:after="0"/>
              <w:ind w:left="0" w:firstLine="0"/>
              <w:jc w:val="both"/>
            </w:pPr>
            <w:r>
              <w:rPr>
                <w:sz w:val="8"/>
              </w:rPr>
              <w:t>123. Adicionalmente, sugere-se uma alteração no Inciso III da Subcláusula Quarta da Cláusula Oitava, com intuito de obrigar a concessionária a contabilizar os custos das atividades empresariais em separado da atividade principal.</w:t>
            </w:r>
          </w:p>
        </w:tc>
        <w:tc>
          <w:tcPr>
            <w:tcW w:w="0" w:type="auto"/>
            <w:gridSpan w:val="2"/>
            <w:vMerge/>
            <w:tcBorders>
              <w:top w:val="nil"/>
              <w:left w:val="single" w:sz="3" w:space="0" w:color="000000"/>
              <w:bottom w:val="nil"/>
              <w:right w:val="nil"/>
            </w:tcBorders>
          </w:tcPr>
          <w:p w14:paraId="66AC7C0E" w14:textId="77777777" w:rsidR="00541219" w:rsidRDefault="00541219">
            <w:pPr>
              <w:spacing w:after="160"/>
              <w:ind w:left="0" w:firstLine="0"/>
            </w:pPr>
          </w:p>
        </w:tc>
      </w:tr>
      <w:tr w:rsidR="00541219" w14:paraId="668B6A5C"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2135D3C1" w14:textId="77777777" w:rsidR="00541219" w:rsidRDefault="00000000">
            <w:pPr>
              <w:spacing w:after="0"/>
              <w:ind w:left="497" w:firstLine="0"/>
            </w:pPr>
            <w:r>
              <w:rPr>
                <w:sz w:val="8"/>
              </w:rPr>
              <w:t xml:space="preserve">     Subcláusula Quarta – A DISTRIBUIDORA obriga-se a:</w:t>
            </w:r>
          </w:p>
          <w:p w14:paraId="2909532E" w14:textId="77777777" w:rsidR="00541219" w:rsidRDefault="00000000">
            <w:pPr>
              <w:spacing w:after="0"/>
              <w:ind w:left="497" w:firstLine="0"/>
            </w:pPr>
            <w:r>
              <w:rPr>
                <w:sz w:val="8"/>
              </w:rPr>
              <w:t xml:space="preserve">     (...) II – manter registro contábil, em separado, das receitas auferidas e dos custos incorridos com as atividades empresariais referidas na Subcláusula Quinta da Cláusula Primeira; e</w:t>
            </w:r>
          </w:p>
        </w:tc>
        <w:tc>
          <w:tcPr>
            <w:tcW w:w="0" w:type="auto"/>
            <w:gridSpan w:val="2"/>
            <w:vMerge/>
            <w:tcBorders>
              <w:top w:val="nil"/>
              <w:left w:val="single" w:sz="3" w:space="0" w:color="000000"/>
              <w:bottom w:val="nil"/>
              <w:right w:val="nil"/>
            </w:tcBorders>
          </w:tcPr>
          <w:p w14:paraId="65C8E1CD" w14:textId="77777777" w:rsidR="00541219" w:rsidRDefault="00541219">
            <w:pPr>
              <w:spacing w:after="160"/>
              <w:ind w:left="0" w:firstLine="0"/>
            </w:pPr>
          </w:p>
        </w:tc>
      </w:tr>
      <w:tr w:rsidR="00541219" w14:paraId="7269615C"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0D7C330D" w14:textId="77777777" w:rsidR="00541219" w:rsidRDefault="00000000">
            <w:pPr>
              <w:spacing w:after="0"/>
              <w:ind w:left="0" w:right="99" w:firstLine="0"/>
              <w:jc w:val="both"/>
            </w:pPr>
            <w:r>
              <w:rPr>
                <w:sz w:val="8"/>
              </w:rPr>
              <w:t>124. Importante ainda ressaltar que, conforme acima tratado, o Decreto 12.068/2024 prevê expressamente no art. 4o, XI, “b” que a minuta deve conter cláusula que assegure que “a arrecadação de tributos na fatura de energia elétrica decorrente de obrigação constitucional ou legal não será considerada atividade empresarial ou fonte de receitas alternativas, complementares e acessórias”.</w:t>
            </w:r>
          </w:p>
        </w:tc>
        <w:tc>
          <w:tcPr>
            <w:tcW w:w="0" w:type="auto"/>
            <w:gridSpan w:val="2"/>
            <w:vMerge/>
            <w:tcBorders>
              <w:top w:val="nil"/>
              <w:left w:val="single" w:sz="3" w:space="0" w:color="000000"/>
              <w:bottom w:val="nil"/>
              <w:right w:val="nil"/>
            </w:tcBorders>
          </w:tcPr>
          <w:p w14:paraId="70BF3537" w14:textId="77777777" w:rsidR="00541219" w:rsidRDefault="00541219">
            <w:pPr>
              <w:spacing w:after="160"/>
              <w:ind w:left="0" w:firstLine="0"/>
            </w:pPr>
          </w:p>
        </w:tc>
      </w:tr>
      <w:tr w:rsidR="00541219" w14:paraId="52FB0894"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4FC8F34B" w14:textId="77777777" w:rsidR="00541219" w:rsidRDefault="00000000">
            <w:pPr>
              <w:spacing w:after="0"/>
              <w:ind w:left="0" w:firstLine="0"/>
            </w:pPr>
            <w:r>
              <w:rPr>
                <w:sz w:val="8"/>
              </w:rPr>
              <w:t xml:space="preserve">125. No caso da arrecadação da contribuição para o custeio, a expansão e a melhoria do serviço de iluminação pública e de sistemas de monitoramento para segurança e preservação de logradouros públicos na fatura de energia, disposta no art. 149-A da Constituição Federal, a regulação da ANEEL prevista nos </w:t>
            </w:r>
            <w:proofErr w:type="spellStart"/>
            <w:r>
              <w:rPr>
                <w:sz w:val="8"/>
              </w:rPr>
              <w:t>arts</w:t>
            </w:r>
            <w:proofErr w:type="spellEnd"/>
            <w:r>
              <w:rPr>
                <w:sz w:val="8"/>
              </w:rPr>
              <w:t>. 476 e 632 da REN no 1.000/2021 já está harmonizada com essa disposição do Decreto.</w:t>
            </w:r>
          </w:p>
        </w:tc>
        <w:tc>
          <w:tcPr>
            <w:tcW w:w="0" w:type="auto"/>
            <w:gridSpan w:val="2"/>
            <w:vMerge/>
            <w:tcBorders>
              <w:top w:val="nil"/>
              <w:left w:val="single" w:sz="3" w:space="0" w:color="000000"/>
              <w:bottom w:val="nil"/>
              <w:right w:val="nil"/>
            </w:tcBorders>
          </w:tcPr>
          <w:p w14:paraId="6B2A5B3C" w14:textId="77777777" w:rsidR="00541219" w:rsidRDefault="00541219">
            <w:pPr>
              <w:spacing w:after="160"/>
              <w:ind w:left="0" w:firstLine="0"/>
            </w:pPr>
          </w:p>
        </w:tc>
      </w:tr>
    </w:tbl>
    <w:p w14:paraId="0384F24E" w14:textId="77777777" w:rsidR="00541219" w:rsidRDefault="00541219">
      <w:pPr>
        <w:spacing w:after="0"/>
        <w:ind w:left="-1440" w:right="8609" w:firstLine="0"/>
      </w:pPr>
    </w:p>
    <w:tbl>
      <w:tblPr>
        <w:tblStyle w:val="TableGrid"/>
        <w:tblW w:w="10264" w:type="dxa"/>
        <w:tblInd w:w="-688" w:type="dxa"/>
        <w:tblCellMar>
          <w:top w:w="0" w:type="dxa"/>
          <w:left w:w="19" w:type="dxa"/>
          <w:bottom w:w="0" w:type="dxa"/>
          <w:right w:w="24" w:type="dxa"/>
        </w:tblCellMar>
        <w:tblLook w:val="04A0" w:firstRow="1" w:lastRow="0" w:firstColumn="1" w:lastColumn="0" w:noHBand="0" w:noVBand="1"/>
      </w:tblPr>
      <w:tblGrid>
        <w:gridCol w:w="5344"/>
        <w:gridCol w:w="1229"/>
        <w:gridCol w:w="3691"/>
      </w:tblGrid>
      <w:tr w:rsidR="00541219" w14:paraId="0BA600A4" w14:textId="77777777">
        <w:trPr>
          <w:trHeight w:val="150"/>
        </w:trPr>
        <w:tc>
          <w:tcPr>
            <w:tcW w:w="10264" w:type="dxa"/>
            <w:gridSpan w:val="3"/>
            <w:tcBorders>
              <w:top w:val="single" w:sz="6" w:space="0" w:color="000000"/>
              <w:left w:val="single" w:sz="6" w:space="0" w:color="000000"/>
              <w:bottom w:val="single" w:sz="3" w:space="0" w:color="000000"/>
              <w:right w:val="single" w:sz="6" w:space="0" w:color="000000"/>
            </w:tcBorders>
          </w:tcPr>
          <w:p w14:paraId="1E505A54" w14:textId="77777777" w:rsidR="00541219" w:rsidRDefault="00000000">
            <w:pPr>
              <w:spacing w:after="0"/>
              <w:ind w:left="20" w:firstLine="0"/>
              <w:jc w:val="center"/>
            </w:pPr>
            <w:r>
              <w:rPr>
                <w:color w:val="0000FF"/>
                <w:sz w:val="12"/>
              </w:rPr>
              <w:t>CONTRIBUIÇÃO REFERENTE À CONSULTA PÚBLICA Nº 27/2024</w:t>
            </w:r>
          </w:p>
        </w:tc>
      </w:tr>
      <w:tr w:rsidR="00541219" w14:paraId="33C19287" w14:textId="77777777">
        <w:trPr>
          <w:trHeight w:val="149"/>
        </w:trPr>
        <w:tc>
          <w:tcPr>
            <w:tcW w:w="10264" w:type="dxa"/>
            <w:gridSpan w:val="3"/>
            <w:tcBorders>
              <w:top w:val="single" w:sz="3" w:space="0" w:color="000000"/>
              <w:left w:val="single" w:sz="6" w:space="0" w:color="000000"/>
              <w:bottom w:val="single" w:sz="3" w:space="0" w:color="000000"/>
              <w:right w:val="single" w:sz="6" w:space="0" w:color="000000"/>
            </w:tcBorders>
          </w:tcPr>
          <w:p w14:paraId="7A7348ED" w14:textId="77777777" w:rsidR="00541219" w:rsidRDefault="00000000">
            <w:pPr>
              <w:spacing w:after="0"/>
              <w:ind w:left="8" w:firstLine="0"/>
              <w:jc w:val="center"/>
            </w:pPr>
            <w:r>
              <w:rPr>
                <w:color w:val="0000FF"/>
                <w:sz w:val="12"/>
              </w:rPr>
              <w:t>NOME DA INSTITUIÇÃO: CONCEN Conselho de Consumidores da Energisa Mato Grosso do Sul</w:t>
            </w:r>
          </w:p>
        </w:tc>
      </w:tr>
      <w:tr w:rsidR="00541219" w14:paraId="54F143D0" w14:textId="77777777">
        <w:trPr>
          <w:trHeight w:val="149"/>
        </w:trPr>
        <w:tc>
          <w:tcPr>
            <w:tcW w:w="10264" w:type="dxa"/>
            <w:gridSpan w:val="3"/>
            <w:tcBorders>
              <w:top w:val="single" w:sz="3" w:space="0" w:color="000000"/>
              <w:left w:val="single" w:sz="6" w:space="0" w:color="000000"/>
              <w:bottom w:val="single" w:sz="3" w:space="0" w:color="000000"/>
              <w:right w:val="single" w:sz="6" w:space="0" w:color="000000"/>
            </w:tcBorders>
          </w:tcPr>
          <w:p w14:paraId="241F0436" w14:textId="77777777" w:rsidR="00541219" w:rsidRDefault="00000000">
            <w:pPr>
              <w:tabs>
                <w:tab w:val="center" w:pos="626"/>
                <w:tab w:val="center" w:pos="5122"/>
              </w:tabs>
              <w:spacing w:after="0"/>
              <w:ind w:left="0" w:firstLine="0"/>
            </w:pPr>
            <w:r>
              <w:rPr>
                <w:rFonts w:ascii="Calibri" w:eastAsia="Calibri" w:hAnsi="Calibri" w:cs="Calibri"/>
                <w:sz w:val="22"/>
              </w:rPr>
              <w:tab/>
            </w:r>
            <w:r>
              <w:rPr>
                <w:noProof/>
              </w:rPr>
              <w:drawing>
                <wp:inline distT="0" distB="0" distL="0" distR="0" wp14:anchorId="3CD36C3A" wp14:editId="15EBD4B3">
                  <wp:extent cx="585216" cy="362712"/>
                  <wp:effectExtent l="0" t="0" r="0" b="0"/>
                  <wp:docPr id="2246" name="Picture 2246"/>
                  <wp:cNvGraphicFramePr/>
                  <a:graphic xmlns:a="http://schemas.openxmlformats.org/drawingml/2006/main">
                    <a:graphicData uri="http://schemas.openxmlformats.org/drawingml/2006/picture">
                      <pic:pic xmlns:pic="http://schemas.openxmlformats.org/drawingml/2006/picture">
                        <pic:nvPicPr>
                          <pic:cNvPr id="2246" name="Picture 2246"/>
                          <pic:cNvPicPr/>
                        </pic:nvPicPr>
                        <pic:blipFill>
                          <a:blip r:embed="rId5"/>
                          <a:stretch>
                            <a:fillRect/>
                          </a:stretch>
                        </pic:blipFill>
                        <pic:spPr>
                          <a:xfrm>
                            <a:off x="0" y="0"/>
                            <a:ext cx="585216" cy="362712"/>
                          </a:xfrm>
                          <a:prstGeom prst="rect">
                            <a:avLst/>
                          </a:prstGeom>
                        </pic:spPr>
                      </pic:pic>
                    </a:graphicData>
                  </a:graphic>
                </wp:inline>
              </w:drawing>
            </w:r>
            <w:r>
              <w:rPr>
                <w:color w:val="0000FF"/>
                <w:sz w:val="12"/>
              </w:rPr>
              <w:tab/>
              <w:t>AGÊNCIA NACIONAL DE ENERGIA ELÉTRICA – ANEEL</w:t>
            </w:r>
          </w:p>
        </w:tc>
      </w:tr>
      <w:tr w:rsidR="00541219" w14:paraId="510FDDD4" w14:textId="77777777">
        <w:trPr>
          <w:trHeight w:val="178"/>
        </w:trPr>
        <w:tc>
          <w:tcPr>
            <w:tcW w:w="10264" w:type="dxa"/>
            <w:gridSpan w:val="3"/>
            <w:tcBorders>
              <w:top w:val="single" w:sz="3" w:space="0" w:color="000000"/>
              <w:left w:val="single" w:sz="6" w:space="0" w:color="000000"/>
              <w:bottom w:val="single" w:sz="3" w:space="0" w:color="000000"/>
              <w:right w:val="single" w:sz="6" w:space="0" w:color="000000"/>
            </w:tcBorders>
          </w:tcPr>
          <w:p w14:paraId="46C3653E" w14:textId="77777777" w:rsidR="00541219" w:rsidRDefault="00000000">
            <w:pPr>
              <w:spacing w:after="0"/>
              <w:ind w:left="18" w:firstLine="0"/>
              <w:jc w:val="center"/>
            </w:pPr>
            <w:r>
              <w:rPr>
                <w:color w:val="0000FF"/>
              </w:rPr>
              <w:t>NOTA TÉCNICA nº 1.056/2024-SCE-SFF-SFT-SMA-STE-STD-STR/ANEEL de 09 de outubro de 2024.</w:t>
            </w:r>
          </w:p>
        </w:tc>
      </w:tr>
      <w:tr w:rsidR="00541219" w14:paraId="5A407989" w14:textId="77777777">
        <w:trPr>
          <w:trHeight w:val="194"/>
        </w:trPr>
        <w:tc>
          <w:tcPr>
            <w:tcW w:w="10264" w:type="dxa"/>
            <w:gridSpan w:val="3"/>
            <w:tcBorders>
              <w:top w:val="single" w:sz="3" w:space="0" w:color="000000"/>
              <w:left w:val="single" w:sz="6" w:space="0" w:color="000000"/>
              <w:bottom w:val="single" w:sz="3" w:space="0" w:color="000000"/>
              <w:right w:val="single" w:sz="6" w:space="0" w:color="000000"/>
            </w:tcBorders>
          </w:tcPr>
          <w:p w14:paraId="68BDF3D7" w14:textId="77777777" w:rsidR="00541219" w:rsidRDefault="00000000">
            <w:pPr>
              <w:spacing w:after="0"/>
              <w:ind w:left="6" w:firstLine="0"/>
              <w:jc w:val="center"/>
            </w:pPr>
            <w:r>
              <w:rPr>
                <w:color w:val="0000FF"/>
              </w:rPr>
              <w:t xml:space="preserve">                                                               EMENTA: Obter subsídios para o aprimoramento da minuta de termo aditivo ao contrato de concessão de distribuição de energia elétrica com vistas à prorrogação das concessões.</w:t>
            </w:r>
          </w:p>
        </w:tc>
      </w:tr>
      <w:tr w:rsidR="00541219" w14:paraId="2C38FB52" w14:textId="77777777">
        <w:trPr>
          <w:trHeight w:val="132"/>
        </w:trPr>
        <w:tc>
          <w:tcPr>
            <w:tcW w:w="10264" w:type="dxa"/>
            <w:gridSpan w:val="3"/>
            <w:tcBorders>
              <w:top w:val="single" w:sz="3" w:space="0" w:color="000000"/>
              <w:left w:val="single" w:sz="6" w:space="0" w:color="000000"/>
              <w:bottom w:val="single" w:sz="3" w:space="0" w:color="000000"/>
              <w:right w:val="single" w:sz="6" w:space="0" w:color="000000"/>
            </w:tcBorders>
          </w:tcPr>
          <w:p w14:paraId="76837553" w14:textId="77777777" w:rsidR="00541219" w:rsidRDefault="00000000">
            <w:pPr>
              <w:spacing w:after="0"/>
              <w:ind w:left="6" w:firstLine="0"/>
              <w:jc w:val="center"/>
            </w:pPr>
            <w:r>
              <w:rPr>
                <w:color w:val="0000FF"/>
                <w:sz w:val="11"/>
              </w:rPr>
              <w:t>CONTRIBUIÇÕES RECEBIDAS</w:t>
            </w:r>
          </w:p>
        </w:tc>
      </w:tr>
      <w:tr w:rsidR="00541219" w14:paraId="3D343FC8" w14:textId="77777777">
        <w:trPr>
          <w:trHeight w:val="275"/>
        </w:trPr>
        <w:tc>
          <w:tcPr>
            <w:tcW w:w="10264" w:type="dxa"/>
            <w:gridSpan w:val="3"/>
            <w:tcBorders>
              <w:top w:val="single" w:sz="3" w:space="0" w:color="000000"/>
              <w:left w:val="single" w:sz="6" w:space="0" w:color="000000"/>
              <w:bottom w:val="single" w:sz="6" w:space="0" w:color="000000"/>
              <w:right w:val="single" w:sz="6" w:space="0" w:color="000000"/>
            </w:tcBorders>
          </w:tcPr>
          <w:p w14:paraId="210E5088" w14:textId="77777777" w:rsidR="00541219" w:rsidRDefault="00000000">
            <w:pPr>
              <w:spacing w:after="0"/>
              <w:ind w:left="0" w:firstLine="0"/>
            </w:pPr>
            <w:r>
              <w:t>IMPORTANTE: Os comentários e sugestões referentes às contribuições deverão ser fundamentados e justificados, mencionando-se os artigos, parágrafos e incisos a que se referem, devendo ser acompanhados de textos alternativos e substitutivos quando envolverem sugestões de inclusão ou alteração, parcial ou total, de qualquer dispositivo.</w:t>
            </w:r>
          </w:p>
        </w:tc>
      </w:tr>
      <w:tr w:rsidR="00541219" w14:paraId="1B8B5EC1" w14:textId="77777777">
        <w:trPr>
          <w:trHeight w:val="213"/>
        </w:trPr>
        <w:tc>
          <w:tcPr>
            <w:tcW w:w="5344" w:type="dxa"/>
            <w:tcBorders>
              <w:top w:val="single" w:sz="6" w:space="0" w:color="000000"/>
              <w:left w:val="single" w:sz="6" w:space="0" w:color="000000"/>
              <w:bottom w:val="double" w:sz="4" w:space="0" w:color="000000"/>
              <w:right w:val="single" w:sz="6" w:space="0" w:color="000000"/>
            </w:tcBorders>
            <w:shd w:val="clear" w:color="auto" w:fill="FF0000"/>
          </w:tcPr>
          <w:p w14:paraId="187FB559" w14:textId="77777777" w:rsidR="00541219" w:rsidRDefault="00000000">
            <w:pPr>
              <w:spacing w:after="0"/>
              <w:ind w:left="7" w:firstLine="0"/>
              <w:jc w:val="center"/>
            </w:pPr>
            <w:r>
              <w:rPr>
                <w:color w:val="FFFFFF"/>
                <w:sz w:val="11"/>
              </w:rPr>
              <w:t xml:space="preserve">TEXTO/ANEEL </w:t>
            </w:r>
          </w:p>
        </w:tc>
        <w:tc>
          <w:tcPr>
            <w:tcW w:w="1229" w:type="dxa"/>
            <w:tcBorders>
              <w:top w:val="single" w:sz="6" w:space="0" w:color="000000"/>
              <w:left w:val="single" w:sz="6" w:space="0" w:color="000000"/>
              <w:bottom w:val="single" w:sz="6" w:space="0" w:color="000000"/>
              <w:right w:val="single" w:sz="6" w:space="0" w:color="000000"/>
            </w:tcBorders>
            <w:shd w:val="clear" w:color="auto" w:fill="FF0000"/>
          </w:tcPr>
          <w:p w14:paraId="765CDB10" w14:textId="77777777" w:rsidR="00541219" w:rsidRDefault="00000000">
            <w:pPr>
              <w:spacing w:after="0"/>
              <w:ind w:left="70" w:firstLine="0"/>
            </w:pPr>
            <w:r>
              <w:rPr>
                <w:color w:val="FFFFFF"/>
                <w:sz w:val="11"/>
              </w:rPr>
              <w:t>TEXTO/INSTITUIÇÃO</w:t>
            </w:r>
          </w:p>
        </w:tc>
        <w:tc>
          <w:tcPr>
            <w:tcW w:w="3691" w:type="dxa"/>
            <w:tcBorders>
              <w:top w:val="single" w:sz="6" w:space="0" w:color="000000"/>
              <w:left w:val="single" w:sz="6" w:space="0" w:color="000000"/>
              <w:bottom w:val="single" w:sz="6" w:space="0" w:color="000000"/>
              <w:right w:val="single" w:sz="6" w:space="0" w:color="000000"/>
            </w:tcBorders>
            <w:shd w:val="clear" w:color="auto" w:fill="FF0000"/>
          </w:tcPr>
          <w:p w14:paraId="634CFCCE" w14:textId="77777777" w:rsidR="00541219" w:rsidRDefault="00000000">
            <w:pPr>
              <w:spacing w:after="0"/>
              <w:ind w:left="25" w:firstLine="0"/>
              <w:jc w:val="center"/>
            </w:pPr>
            <w:r>
              <w:rPr>
                <w:color w:val="FFFFFF"/>
                <w:sz w:val="11"/>
              </w:rPr>
              <w:t>JUSTIFICATIVA/INSTITUIÇÃO</w:t>
            </w:r>
          </w:p>
        </w:tc>
      </w:tr>
      <w:tr w:rsidR="00541219" w14:paraId="5FE0C18A" w14:textId="77777777">
        <w:trPr>
          <w:trHeight w:val="388"/>
        </w:trPr>
        <w:tc>
          <w:tcPr>
            <w:tcW w:w="5344" w:type="dxa"/>
            <w:tcBorders>
              <w:top w:val="double" w:sz="4" w:space="0" w:color="000000"/>
              <w:left w:val="single" w:sz="3" w:space="0" w:color="000000"/>
              <w:bottom w:val="single" w:sz="3" w:space="0" w:color="000000"/>
              <w:right w:val="single" w:sz="3" w:space="0" w:color="000000"/>
            </w:tcBorders>
          </w:tcPr>
          <w:p w14:paraId="4CBEC583" w14:textId="77777777" w:rsidR="00541219" w:rsidRDefault="00000000">
            <w:pPr>
              <w:spacing w:after="0"/>
              <w:ind w:left="0" w:firstLine="0"/>
            </w:pPr>
            <w:r>
              <w:rPr>
                <w:sz w:val="8"/>
              </w:rPr>
              <w:t>126. Entretanto, por ocasião da publicação da REN no 888/2020, que tratou dessa questão, a ABRADEE impetrou mandado de segurança (100301387.2021.4.01.0000) solicitando o reconhecimento da ilegitimidade e abusividade da regulação da ANEEL, o que foi negado pelo Poder Judiciário. Na sequência, a ABRADEE apresentou recurso de apelação e conseguiu um efeito suspensivo, sendo que o processo ainda aguarda julgamento.</w:t>
            </w:r>
          </w:p>
        </w:tc>
        <w:tc>
          <w:tcPr>
            <w:tcW w:w="4920" w:type="dxa"/>
            <w:gridSpan w:val="2"/>
            <w:vMerge w:val="restart"/>
            <w:tcBorders>
              <w:top w:val="single" w:sz="6" w:space="0" w:color="000000"/>
              <w:left w:val="single" w:sz="3" w:space="0" w:color="000000"/>
              <w:bottom w:val="nil"/>
              <w:right w:val="nil"/>
            </w:tcBorders>
          </w:tcPr>
          <w:p w14:paraId="4DAC23A8" w14:textId="77777777" w:rsidR="00541219" w:rsidRDefault="00541219">
            <w:pPr>
              <w:spacing w:after="160"/>
              <w:ind w:left="0" w:firstLine="0"/>
            </w:pPr>
          </w:p>
        </w:tc>
      </w:tr>
      <w:tr w:rsidR="00541219" w14:paraId="5E4F82E4" w14:textId="77777777">
        <w:trPr>
          <w:trHeight w:val="470"/>
        </w:trPr>
        <w:tc>
          <w:tcPr>
            <w:tcW w:w="5344" w:type="dxa"/>
            <w:tcBorders>
              <w:top w:val="single" w:sz="3" w:space="0" w:color="000000"/>
              <w:left w:val="single" w:sz="3" w:space="0" w:color="000000"/>
              <w:bottom w:val="single" w:sz="3" w:space="0" w:color="000000"/>
              <w:right w:val="single" w:sz="3" w:space="0" w:color="000000"/>
            </w:tcBorders>
          </w:tcPr>
          <w:p w14:paraId="4C6DBF59" w14:textId="77777777" w:rsidR="00541219" w:rsidRDefault="00000000">
            <w:pPr>
              <w:spacing w:after="0"/>
              <w:ind w:left="0" w:firstLine="0"/>
            </w:pPr>
            <w:r>
              <w:rPr>
                <w:sz w:val="8"/>
              </w:rPr>
              <w:t>127. Nesse sentido, destaca-se o art. 2o do Decreto 12.068/2024, onde se dispõe que a prorrogação das concessões de distribuição fica condicionada à “expressa aceitação por parte da concessionária das condições estabelecidas neste Decreto e das demais disposições estabelecidas no termo aditivo ao contrato de concessão”. Assim, pondera-se que as concessionárias que irão requerer a prorrogação do prazo de concessão e, posteriormente, assinarão o termo aditivo, não devem fazê-lo na condição de parte do processo judicial em que questiona e se recusa a cumprir dispositivo do próprio Decreto 12.068/2024 que fundamenta a prorrogação.</w:t>
            </w:r>
          </w:p>
        </w:tc>
        <w:tc>
          <w:tcPr>
            <w:tcW w:w="0" w:type="auto"/>
            <w:gridSpan w:val="2"/>
            <w:vMerge/>
            <w:tcBorders>
              <w:top w:val="nil"/>
              <w:left w:val="single" w:sz="3" w:space="0" w:color="000000"/>
              <w:bottom w:val="nil"/>
              <w:right w:val="nil"/>
            </w:tcBorders>
          </w:tcPr>
          <w:p w14:paraId="2952889C" w14:textId="77777777" w:rsidR="00541219" w:rsidRDefault="00541219">
            <w:pPr>
              <w:spacing w:after="160"/>
              <w:ind w:left="0" w:firstLine="0"/>
            </w:pPr>
          </w:p>
        </w:tc>
      </w:tr>
      <w:tr w:rsidR="00541219" w14:paraId="0ADE8A98" w14:textId="77777777">
        <w:trPr>
          <w:trHeight w:val="470"/>
        </w:trPr>
        <w:tc>
          <w:tcPr>
            <w:tcW w:w="5344" w:type="dxa"/>
            <w:tcBorders>
              <w:top w:val="single" w:sz="3" w:space="0" w:color="000000"/>
              <w:left w:val="single" w:sz="3" w:space="0" w:color="000000"/>
              <w:bottom w:val="single" w:sz="3" w:space="0" w:color="000000"/>
              <w:right w:val="single" w:sz="3" w:space="0" w:color="000000"/>
            </w:tcBorders>
          </w:tcPr>
          <w:p w14:paraId="2B5D43D7" w14:textId="77777777" w:rsidR="00541219" w:rsidRDefault="00000000">
            <w:pPr>
              <w:spacing w:after="0"/>
              <w:ind w:left="0" w:firstLine="0"/>
            </w:pPr>
            <w:r>
              <w:rPr>
                <w:sz w:val="8"/>
              </w:rPr>
              <w:t>128. Assim, é necessário esclarecer que, no caso de concessionárias que façam parte da ABRADEE, a renovação da concessão deve ficar condicionada e ser precedida da desistência da referida ação judicial, bem como da renúncia a qualquer alegação de direito sobre o qual se funda a ação, o que deve ser comprovado por meio de cópia do protocolo de requerimento no processo judicial, de forma semelhante ao que foi previsto na REN no 895/2020 quando do tratamento de outro tema. Adicionalmente, previamente à celebração do termo aditivo, deve a concessionária apresentar a ANEEL o respectivo acerto financeiro com cada um dos Municípios afetados pela suspensão do cumprimento da regulação.</w:t>
            </w:r>
          </w:p>
        </w:tc>
        <w:tc>
          <w:tcPr>
            <w:tcW w:w="0" w:type="auto"/>
            <w:gridSpan w:val="2"/>
            <w:vMerge/>
            <w:tcBorders>
              <w:top w:val="nil"/>
              <w:left w:val="single" w:sz="3" w:space="0" w:color="000000"/>
              <w:bottom w:val="nil"/>
              <w:right w:val="nil"/>
            </w:tcBorders>
          </w:tcPr>
          <w:p w14:paraId="34004EDF" w14:textId="77777777" w:rsidR="00541219" w:rsidRDefault="00541219">
            <w:pPr>
              <w:spacing w:after="160"/>
              <w:ind w:left="0" w:firstLine="0"/>
            </w:pPr>
          </w:p>
        </w:tc>
      </w:tr>
      <w:tr w:rsidR="00541219" w14:paraId="037E95DD"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1677AAEF" w14:textId="77777777" w:rsidR="00541219" w:rsidRDefault="00000000">
            <w:pPr>
              <w:spacing w:after="0"/>
              <w:ind w:left="0" w:firstLine="0"/>
            </w:pPr>
            <w:r>
              <w:rPr>
                <w:sz w:val="8"/>
              </w:rPr>
              <w:t>129. Diante desse contexto, na subcláusula quinta deve constar o seguinte inciso adicional, expressamente previsto no art. 4o, XI, “b” do Decreto 12.068/2024:</w:t>
            </w:r>
          </w:p>
        </w:tc>
        <w:tc>
          <w:tcPr>
            <w:tcW w:w="0" w:type="auto"/>
            <w:gridSpan w:val="2"/>
            <w:vMerge/>
            <w:tcBorders>
              <w:top w:val="nil"/>
              <w:left w:val="single" w:sz="3" w:space="0" w:color="000000"/>
              <w:bottom w:val="nil"/>
              <w:right w:val="nil"/>
            </w:tcBorders>
          </w:tcPr>
          <w:p w14:paraId="07E551C5" w14:textId="77777777" w:rsidR="00541219" w:rsidRDefault="00541219">
            <w:pPr>
              <w:spacing w:after="160"/>
              <w:ind w:left="0" w:firstLine="0"/>
            </w:pPr>
          </w:p>
        </w:tc>
      </w:tr>
      <w:tr w:rsidR="00541219" w14:paraId="26B292FA"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2A47E19B" w14:textId="77777777" w:rsidR="00541219" w:rsidRDefault="00000000">
            <w:pPr>
              <w:spacing w:after="0"/>
              <w:ind w:left="497" w:right="3" w:firstLine="0"/>
            </w:pPr>
            <w:r>
              <w:rPr>
                <w:sz w:val="8"/>
              </w:rPr>
              <w:t xml:space="preserve">     Subcláusula Quinta – A DISTRIBUIDORA aceita que a exploração do serviço público de distribuição de energia elétrica, de que é titular, seja realizada como função de utilidade pública prioritária, comprometendo-se a somente exercer outras atividades empresariais nos termos e condições previstas na legislação e na regulação da ANEEL, observando-se que:</w:t>
            </w:r>
          </w:p>
          <w:p w14:paraId="22A6B221" w14:textId="77777777" w:rsidR="00541219" w:rsidRDefault="00000000">
            <w:pPr>
              <w:spacing w:after="0"/>
              <w:ind w:left="497" w:firstLine="0"/>
            </w:pPr>
            <w:r>
              <w:rPr>
                <w:sz w:val="8"/>
              </w:rPr>
              <w:t xml:space="preserve">     (...)</w:t>
            </w:r>
          </w:p>
        </w:tc>
        <w:tc>
          <w:tcPr>
            <w:tcW w:w="0" w:type="auto"/>
            <w:gridSpan w:val="2"/>
            <w:vMerge/>
            <w:tcBorders>
              <w:top w:val="nil"/>
              <w:left w:val="single" w:sz="3" w:space="0" w:color="000000"/>
              <w:bottom w:val="nil"/>
              <w:right w:val="nil"/>
            </w:tcBorders>
          </w:tcPr>
          <w:p w14:paraId="700C6604" w14:textId="77777777" w:rsidR="00541219" w:rsidRDefault="00541219">
            <w:pPr>
              <w:spacing w:after="160"/>
              <w:ind w:left="0" w:firstLine="0"/>
            </w:pPr>
          </w:p>
        </w:tc>
      </w:tr>
      <w:tr w:rsidR="00541219" w14:paraId="1A1DB3D0"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2BBD4D79" w14:textId="77777777" w:rsidR="00541219" w:rsidRDefault="00000000">
            <w:pPr>
              <w:spacing w:after="0"/>
              <w:ind w:left="497" w:firstLine="0"/>
            </w:pPr>
            <w:r>
              <w:rPr>
                <w:sz w:val="8"/>
              </w:rPr>
              <w:t xml:space="preserve">          IV. a arrecadação de tributos na fatura de energia elétrica decorrente de obrigação constitucional ou legal não será considerada atividade empresarial ou fonte de receitas alternativas, complementares e acessórias.</w:t>
            </w:r>
          </w:p>
        </w:tc>
        <w:tc>
          <w:tcPr>
            <w:tcW w:w="0" w:type="auto"/>
            <w:gridSpan w:val="2"/>
            <w:vMerge/>
            <w:tcBorders>
              <w:top w:val="nil"/>
              <w:left w:val="single" w:sz="3" w:space="0" w:color="000000"/>
              <w:bottom w:val="nil"/>
              <w:right w:val="nil"/>
            </w:tcBorders>
          </w:tcPr>
          <w:p w14:paraId="1851EDD5" w14:textId="77777777" w:rsidR="00541219" w:rsidRDefault="00541219">
            <w:pPr>
              <w:spacing w:after="160"/>
              <w:ind w:left="0" w:firstLine="0"/>
            </w:pPr>
          </w:p>
        </w:tc>
      </w:tr>
      <w:tr w:rsidR="00541219" w14:paraId="2BCCFFEE"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0087E538" w14:textId="77777777" w:rsidR="00541219" w:rsidRDefault="00000000">
            <w:pPr>
              <w:spacing w:after="0"/>
              <w:ind w:left="0" w:firstLine="0"/>
            </w:pPr>
            <w:r>
              <w:rPr>
                <w:sz w:val="8"/>
              </w:rPr>
              <w:lastRenderedPageBreak/>
              <w:t>130. Adicionalmente, propõe-se o aprimoramento da Cláusula Décima Oitava, com a inserção de novas subcláusulas, conforme redação a seguir:</w:t>
            </w:r>
          </w:p>
        </w:tc>
        <w:tc>
          <w:tcPr>
            <w:tcW w:w="0" w:type="auto"/>
            <w:gridSpan w:val="2"/>
            <w:vMerge/>
            <w:tcBorders>
              <w:top w:val="nil"/>
              <w:left w:val="single" w:sz="3" w:space="0" w:color="000000"/>
              <w:bottom w:val="nil"/>
              <w:right w:val="nil"/>
            </w:tcBorders>
          </w:tcPr>
          <w:p w14:paraId="787140B9" w14:textId="77777777" w:rsidR="00541219" w:rsidRDefault="00541219">
            <w:pPr>
              <w:spacing w:after="160"/>
              <w:ind w:left="0" w:firstLine="0"/>
            </w:pPr>
          </w:p>
        </w:tc>
      </w:tr>
      <w:tr w:rsidR="00541219" w14:paraId="46DE179A"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7283231A" w14:textId="77777777" w:rsidR="00541219" w:rsidRDefault="00000000">
            <w:pPr>
              <w:spacing w:after="0"/>
              <w:ind w:left="497" w:firstLine="0"/>
            </w:pPr>
            <w:r>
              <w:rPr>
                <w:sz w:val="8"/>
              </w:rPr>
              <w:t xml:space="preserve">     CLÁUSULA DÉCIMA OITAVA – DEMAIS DISPOSIÇÕES</w:t>
            </w:r>
          </w:p>
        </w:tc>
        <w:tc>
          <w:tcPr>
            <w:tcW w:w="0" w:type="auto"/>
            <w:gridSpan w:val="2"/>
            <w:vMerge/>
            <w:tcBorders>
              <w:top w:val="nil"/>
              <w:left w:val="single" w:sz="3" w:space="0" w:color="000000"/>
              <w:bottom w:val="nil"/>
              <w:right w:val="nil"/>
            </w:tcBorders>
          </w:tcPr>
          <w:p w14:paraId="2BE68DE3" w14:textId="77777777" w:rsidR="00541219" w:rsidRDefault="00541219">
            <w:pPr>
              <w:spacing w:after="160"/>
              <w:ind w:left="0" w:firstLine="0"/>
            </w:pPr>
          </w:p>
        </w:tc>
      </w:tr>
      <w:tr w:rsidR="00541219" w14:paraId="524914DA"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513C5C7D" w14:textId="77777777" w:rsidR="00541219" w:rsidRDefault="00000000">
            <w:pPr>
              <w:spacing w:after="0"/>
              <w:ind w:left="497" w:firstLine="0"/>
              <w:jc w:val="both"/>
            </w:pPr>
            <w:r>
              <w:rPr>
                <w:sz w:val="8"/>
              </w:rPr>
              <w:t xml:space="preserve">A celebração deste TERMO ADITIVO rescinde para todos os efeitos as cláusulas e subcláusulas do Contrato de Concessão no XX/XXANEEL, de XX de </w:t>
            </w:r>
            <w:proofErr w:type="spellStart"/>
            <w:r>
              <w:rPr>
                <w:sz w:val="8"/>
              </w:rPr>
              <w:t>xxxxx</w:t>
            </w:r>
            <w:proofErr w:type="spellEnd"/>
            <w:r>
              <w:rPr>
                <w:sz w:val="8"/>
              </w:rPr>
              <w:t xml:space="preserve"> de XXXX, e dos demais aditivos assinados anteriormente a este TERMO ADITIVO.</w:t>
            </w:r>
          </w:p>
          <w:p w14:paraId="13B516AF" w14:textId="77777777" w:rsidR="00541219" w:rsidRDefault="00000000">
            <w:pPr>
              <w:spacing w:after="0"/>
              <w:ind w:left="497" w:firstLine="0"/>
            </w:pPr>
            <w:r>
              <w:rPr>
                <w:sz w:val="8"/>
              </w:rPr>
              <w:t>....</w:t>
            </w:r>
          </w:p>
        </w:tc>
        <w:tc>
          <w:tcPr>
            <w:tcW w:w="0" w:type="auto"/>
            <w:gridSpan w:val="2"/>
            <w:vMerge/>
            <w:tcBorders>
              <w:top w:val="nil"/>
              <w:left w:val="single" w:sz="3" w:space="0" w:color="000000"/>
              <w:bottom w:val="nil"/>
              <w:right w:val="nil"/>
            </w:tcBorders>
          </w:tcPr>
          <w:p w14:paraId="2533E0F0" w14:textId="77777777" w:rsidR="00541219" w:rsidRDefault="00541219">
            <w:pPr>
              <w:spacing w:after="160"/>
              <w:ind w:left="0" w:firstLine="0"/>
            </w:pPr>
          </w:p>
        </w:tc>
      </w:tr>
      <w:tr w:rsidR="00541219" w14:paraId="0497DC80"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58B1DBD7" w14:textId="77777777" w:rsidR="00541219" w:rsidRDefault="00000000">
            <w:pPr>
              <w:spacing w:after="0"/>
              <w:ind w:left="497" w:firstLine="0"/>
            </w:pPr>
            <w:r>
              <w:rPr>
                <w:sz w:val="8"/>
              </w:rPr>
              <w:t xml:space="preserve">     Subcláusula Segunda - A DISTRIBUIDORA declara a total e irrestrita renúncia à propositura de ações de qualquer natureza decorrentes da relação objeto do presente termo, exceto às previstas na Cláusula Décima Quarta e nas hipóteses em que for necessário garantir a ampla defesa e o contraditório.</w:t>
            </w:r>
          </w:p>
        </w:tc>
        <w:tc>
          <w:tcPr>
            <w:tcW w:w="0" w:type="auto"/>
            <w:gridSpan w:val="2"/>
            <w:vMerge/>
            <w:tcBorders>
              <w:top w:val="nil"/>
              <w:left w:val="single" w:sz="3" w:space="0" w:color="000000"/>
              <w:bottom w:val="nil"/>
              <w:right w:val="nil"/>
            </w:tcBorders>
          </w:tcPr>
          <w:p w14:paraId="3A4BAF7B" w14:textId="77777777" w:rsidR="00541219" w:rsidRDefault="00541219">
            <w:pPr>
              <w:spacing w:after="160"/>
              <w:ind w:left="0" w:firstLine="0"/>
            </w:pPr>
          </w:p>
        </w:tc>
      </w:tr>
      <w:tr w:rsidR="00541219" w14:paraId="72F747DA"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50F2D3AB" w14:textId="77777777" w:rsidR="00541219" w:rsidRDefault="00000000">
            <w:pPr>
              <w:spacing w:after="0"/>
              <w:ind w:left="497" w:right="3" w:firstLine="0"/>
            </w:pPr>
            <w:r>
              <w:rPr>
                <w:sz w:val="8"/>
              </w:rPr>
              <w:t xml:space="preserve">     Subcláusula Terceira - A DISTRIBUIDORA declara ter desistido de todas as ações de qualquer natureza existentes antes da assinatura deste TERMO ADITIVO e que conflitem com o presente termo, inclusive as ajuizadas por associação representativa de classe da qual a DISTRIBUIDORA faça parte.</w:t>
            </w:r>
          </w:p>
        </w:tc>
        <w:tc>
          <w:tcPr>
            <w:tcW w:w="0" w:type="auto"/>
            <w:gridSpan w:val="2"/>
            <w:vMerge/>
            <w:tcBorders>
              <w:top w:val="nil"/>
              <w:left w:val="single" w:sz="3" w:space="0" w:color="000000"/>
              <w:bottom w:val="nil"/>
              <w:right w:val="nil"/>
            </w:tcBorders>
          </w:tcPr>
          <w:p w14:paraId="0EAF37AB" w14:textId="77777777" w:rsidR="00541219" w:rsidRDefault="00541219">
            <w:pPr>
              <w:spacing w:after="160"/>
              <w:ind w:left="0" w:firstLine="0"/>
            </w:pPr>
          </w:p>
        </w:tc>
      </w:tr>
      <w:tr w:rsidR="00541219" w14:paraId="15B01A58"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138C60E5" w14:textId="77777777" w:rsidR="00541219" w:rsidRDefault="00000000">
            <w:pPr>
              <w:spacing w:after="0"/>
              <w:ind w:left="497" w:firstLine="0"/>
            </w:pPr>
            <w:r>
              <w:rPr>
                <w:sz w:val="8"/>
              </w:rPr>
              <w:t xml:space="preserve">     Subcláusula Quarta - A DISTRIBUIDORA </w:t>
            </w:r>
            <w:proofErr w:type="spellStart"/>
            <w:proofErr w:type="gramStart"/>
            <w:r>
              <w:rPr>
                <w:sz w:val="8"/>
              </w:rPr>
              <w:t>renuncia</w:t>
            </w:r>
            <w:proofErr w:type="spellEnd"/>
            <w:proofErr w:type="gramEnd"/>
            <w:r>
              <w:rPr>
                <w:sz w:val="8"/>
              </w:rPr>
              <w:t>, em caráter irrevogável e irretratável, a eventuais direitos preexistentes contra a União relativos à concessão, decorrentes de eventos anteriores à assinatura deste TERMO ADITIVO.</w:t>
            </w:r>
          </w:p>
        </w:tc>
        <w:tc>
          <w:tcPr>
            <w:tcW w:w="0" w:type="auto"/>
            <w:gridSpan w:val="2"/>
            <w:vMerge/>
            <w:tcBorders>
              <w:top w:val="nil"/>
              <w:left w:val="single" w:sz="3" w:space="0" w:color="000000"/>
              <w:bottom w:val="nil"/>
              <w:right w:val="nil"/>
            </w:tcBorders>
          </w:tcPr>
          <w:p w14:paraId="0B6DFDD9" w14:textId="77777777" w:rsidR="00541219" w:rsidRDefault="00541219">
            <w:pPr>
              <w:spacing w:after="160"/>
              <w:ind w:left="0" w:firstLine="0"/>
            </w:pPr>
          </w:p>
        </w:tc>
      </w:tr>
      <w:tr w:rsidR="00541219" w14:paraId="52077749"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1FEF5167" w14:textId="77777777" w:rsidR="00541219" w:rsidRDefault="00000000">
            <w:pPr>
              <w:spacing w:after="0"/>
              <w:ind w:left="497" w:right="51" w:firstLine="0"/>
              <w:jc w:val="both"/>
            </w:pPr>
            <w:r>
              <w:rPr>
                <w:sz w:val="8"/>
              </w:rPr>
              <w:t xml:space="preserve">     Subcláusula Quinta - A desistência de que trata esta Cláusula deve ser comprovada por meio da apresentação de cópia do protocolo do requerimento de extinção do processo com resolução de mérito, nos termos da alínea “c” do inciso III do caput do art. 487, do Código de Processo Civil.</w:t>
            </w:r>
          </w:p>
        </w:tc>
        <w:tc>
          <w:tcPr>
            <w:tcW w:w="0" w:type="auto"/>
            <w:gridSpan w:val="2"/>
            <w:vMerge/>
            <w:tcBorders>
              <w:top w:val="nil"/>
              <w:left w:val="single" w:sz="3" w:space="0" w:color="000000"/>
              <w:bottom w:val="nil"/>
              <w:right w:val="nil"/>
            </w:tcBorders>
          </w:tcPr>
          <w:p w14:paraId="3B128F12" w14:textId="77777777" w:rsidR="00541219" w:rsidRDefault="00541219">
            <w:pPr>
              <w:spacing w:after="160"/>
              <w:ind w:left="0" w:firstLine="0"/>
            </w:pPr>
          </w:p>
        </w:tc>
      </w:tr>
      <w:tr w:rsidR="00541219" w14:paraId="7097AA98"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03780BE2" w14:textId="77777777" w:rsidR="00541219" w:rsidRDefault="00000000">
            <w:pPr>
              <w:spacing w:after="0"/>
              <w:ind w:left="0" w:firstLine="0"/>
            </w:pPr>
            <w:r>
              <w:rPr>
                <w:sz w:val="8"/>
              </w:rPr>
              <w:t>131. Entende-se ainda que, para se habilitar à celebração do termo aditivo, a distribuidora deve recolher as multas decorrentes de ação fiscalizatória da Agência que já tiverem trânsito em julgado administrativo. Incluem-se nesse rol as multas que foram judicializadas pelas distribuidoras, o que deve ser acompanhado da desistência da referida ação judicial. Atualmente existem cerca de R$ 490 milhões em multas não recolhidas nas 19 distribuidoras indicadas na Tabela 1.</w:t>
            </w:r>
          </w:p>
        </w:tc>
        <w:tc>
          <w:tcPr>
            <w:tcW w:w="0" w:type="auto"/>
            <w:gridSpan w:val="2"/>
            <w:vMerge/>
            <w:tcBorders>
              <w:top w:val="nil"/>
              <w:left w:val="single" w:sz="3" w:space="0" w:color="000000"/>
              <w:bottom w:val="nil"/>
              <w:right w:val="nil"/>
            </w:tcBorders>
          </w:tcPr>
          <w:p w14:paraId="2F6C80D8" w14:textId="77777777" w:rsidR="00541219" w:rsidRDefault="00541219">
            <w:pPr>
              <w:spacing w:after="160"/>
              <w:ind w:left="0" w:firstLine="0"/>
            </w:pPr>
          </w:p>
        </w:tc>
      </w:tr>
      <w:tr w:rsidR="00541219" w14:paraId="52B417E8"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0578780B" w14:textId="77777777" w:rsidR="00541219" w:rsidRDefault="00000000">
            <w:pPr>
              <w:spacing w:after="0"/>
              <w:ind w:left="0" w:firstLine="0"/>
            </w:pPr>
            <w:r>
              <w:rPr>
                <w:sz w:val="8"/>
              </w:rPr>
              <w:t>132. Para endereçar esse tema na minuta do termo aditivo, propõe-se a inserção da subcláusula sexta na cláusula décima sexta, conforme redação a seguir:</w:t>
            </w:r>
          </w:p>
        </w:tc>
        <w:tc>
          <w:tcPr>
            <w:tcW w:w="0" w:type="auto"/>
            <w:gridSpan w:val="2"/>
            <w:vMerge/>
            <w:tcBorders>
              <w:top w:val="nil"/>
              <w:left w:val="single" w:sz="3" w:space="0" w:color="000000"/>
              <w:bottom w:val="nil"/>
              <w:right w:val="nil"/>
            </w:tcBorders>
          </w:tcPr>
          <w:p w14:paraId="79A1E3FB" w14:textId="77777777" w:rsidR="00541219" w:rsidRDefault="00541219">
            <w:pPr>
              <w:spacing w:after="160"/>
              <w:ind w:left="0" w:firstLine="0"/>
            </w:pPr>
          </w:p>
        </w:tc>
      </w:tr>
      <w:tr w:rsidR="00541219" w14:paraId="0CC786D9"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620605B5" w14:textId="77777777" w:rsidR="00541219" w:rsidRDefault="00000000">
            <w:pPr>
              <w:spacing w:after="0"/>
              <w:ind w:left="0" w:firstLine="0"/>
            </w:pPr>
            <w:r>
              <w:rPr>
                <w:sz w:val="8"/>
              </w:rPr>
              <w:t xml:space="preserve">     Subcláusula Sexta - A DISTRIBUIDORA declara ainda ter recolhido todas as multas com trânsito em julgado administrativo decorrentes de ação fiscalizatória da ANEEL.</w:t>
            </w:r>
          </w:p>
        </w:tc>
        <w:tc>
          <w:tcPr>
            <w:tcW w:w="0" w:type="auto"/>
            <w:gridSpan w:val="2"/>
            <w:vMerge/>
            <w:tcBorders>
              <w:top w:val="nil"/>
              <w:left w:val="single" w:sz="3" w:space="0" w:color="000000"/>
              <w:bottom w:val="nil"/>
              <w:right w:val="nil"/>
            </w:tcBorders>
          </w:tcPr>
          <w:p w14:paraId="1C15D636" w14:textId="77777777" w:rsidR="00541219" w:rsidRDefault="00541219">
            <w:pPr>
              <w:spacing w:after="160"/>
              <w:ind w:left="0" w:firstLine="0"/>
            </w:pPr>
          </w:p>
        </w:tc>
      </w:tr>
      <w:tr w:rsidR="00541219" w14:paraId="350442FD" w14:textId="77777777">
        <w:trPr>
          <w:trHeight w:val="187"/>
        </w:trPr>
        <w:tc>
          <w:tcPr>
            <w:tcW w:w="5344" w:type="dxa"/>
            <w:tcBorders>
              <w:top w:val="single" w:sz="3" w:space="0" w:color="000000"/>
              <w:left w:val="single" w:sz="3" w:space="0" w:color="000000"/>
              <w:bottom w:val="single" w:sz="3" w:space="0" w:color="000000"/>
              <w:right w:val="single" w:sz="3" w:space="0" w:color="000000"/>
            </w:tcBorders>
            <w:shd w:val="clear" w:color="auto" w:fill="FBDAD7"/>
          </w:tcPr>
          <w:p w14:paraId="5D8CF345" w14:textId="77777777" w:rsidR="00541219" w:rsidRDefault="00000000">
            <w:pPr>
              <w:spacing w:after="0"/>
              <w:ind w:left="0" w:firstLine="0"/>
            </w:pPr>
            <w:r>
              <w:rPr>
                <w:sz w:val="8"/>
              </w:rPr>
              <w:t>III.1.3.2 – Nova destinação para receitas acessórias próprias e complementares, valores arrecadados referentes à ultrapassagem da demanda e ao excedente de reativos</w:t>
            </w:r>
          </w:p>
        </w:tc>
        <w:tc>
          <w:tcPr>
            <w:tcW w:w="0" w:type="auto"/>
            <w:gridSpan w:val="2"/>
            <w:vMerge/>
            <w:tcBorders>
              <w:top w:val="nil"/>
              <w:left w:val="single" w:sz="3" w:space="0" w:color="000000"/>
              <w:bottom w:val="nil"/>
              <w:right w:val="nil"/>
            </w:tcBorders>
          </w:tcPr>
          <w:p w14:paraId="035D8000" w14:textId="77777777" w:rsidR="00541219" w:rsidRDefault="00541219">
            <w:pPr>
              <w:spacing w:after="160"/>
              <w:ind w:left="0" w:firstLine="0"/>
            </w:pPr>
          </w:p>
        </w:tc>
      </w:tr>
      <w:tr w:rsidR="00541219" w14:paraId="77BC66F4"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7F8AA638" w14:textId="77777777" w:rsidR="00541219" w:rsidRDefault="00000000">
            <w:pPr>
              <w:spacing w:after="0"/>
              <w:ind w:left="0" w:firstLine="0"/>
              <w:jc w:val="both"/>
            </w:pPr>
            <w:r>
              <w:rPr>
                <w:sz w:val="8"/>
              </w:rPr>
              <w:t>133. Atualmente, de acordo com o contrato de concessão, as receitas obtidas com Outras Receitas, ultrapassagem de demanda e excedente de reativos são revertidas à modicidade tarifária, conforme art. 11 da Lei 8.987/95, sendo subtraídas da Parcela B quando da revisão tarifária periódica.</w:t>
            </w:r>
          </w:p>
        </w:tc>
        <w:tc>
          <w:tcPr>
            <w:tcW w:w="0" w:type="auto"/>
            <w:gridSpan w:val="2"/>
            <w:vMerge/>
            <w:tcBorders>
              <w:top w:val="nil"/>
              <w:left w:val="single" w:sz="3" w:space="0" w:color="000000"/>
              <w:bottom w:val="nil"/>
              <w:right w:val="nil"/>
            </w:tcBorders>
          </w:tcPr>
          <w:p w14:paraId="0517A909" w14:textId="77777777" w:rsidR="00541219" w:rsidRDefault="00541219">
            <w:pPr>
              <w:spacing w:after="160"/>
              <w:ind w:left="0" w:firstLine="0"/>
            </w:pPr>
          </w:p>
        </w:tc>
      </w:tr>
      <w:tr w:rsidR="00541219" w14:paraId="3F3E4EE0"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11C690AF" w14:textId="77777777" w:rsidR="00541219" w:rsidRDefault="00000000">
            <w:pPr>
              <w:spacing w:after="0"/>
              <w:ind w:left="0" w:firstLine="0"/>
            </w:pPr>
            <w:r>
              <w:rPr>
                <w:sz w:val="8"/>
              </w:rPr>
              <w:t>134. Porém, o Decreto 12.068/24 traz em seu art. 6o:</w:t>
            </w:r>
          </w:p>
        </w:tc>
        <w:tc>
          <w:tcPr>
            <w:tcW w:w="0" w:type="auto"/>
            <w:gridSpan w:val="2"/>
            <w:vMerge/>
            <w:tcBorders>
              <w:top w:val="nil"/>
              <w:left w:val="single" w:sz="3" w:space="0" w:color="000000"/>
              <w:bottom w:val="nil"/>
              <w:right w:val="nil"/>
            </w:tcBorders>
          </w:tcPr>
          <w:p w14:paraId="09A94EBD" w14:textId="77777777" w:rsidR="00541219" w:rsidRDefault="00541219">
            <w:pPr>
              <w:spacing w:after="160"/>
              <w:ind w:left="0" w:firstLine="0"/>
            </w:pPr>
          </w:p>
        </w:tc>
      </w:tr>
      <w:tr w:rsidR="00541219" w14:paraId="1775EC66"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5464B347" w14:textId="77777777" w:rsidR="00541219" w:rsidRDefault="00000000">
            <w:pPr>
              <w:spacing w:after="0"/>
              <w:ind w:left="497" w:firstLine="0"/>
            </w:pPr>
            <w:r>
              <w:rPr>
                <w:sz w:val="8"/>
              </w:rPr>
              <w:t xml:space="preserve">     Art. 6o Como compromisso pela prorrogação das concessões, as concessionárias: (...)</w:t>
            </w:r>
          </w:p>
        </w:tc>
        <w:tc>
          <w:tcPr>
            <w:tcW w:w="0" w:type="auto"/>
            <w:gridSpan w:val="2"/>
            <w:vMerge/>
            <w:tcBorders>
              <w:top w:val="nil"/>
              <w:left w:val="single" w:sz="3" w:space="0" w:color="000000"/>
              <w:bottom w:val="nil"/>
              <w:right w:val="nil"/>
            </w:tcBorders>
          </w:tcPr>
          <w:p w14:paraId="363E84B5" w14:textId="77777777" w:rsidR="00541219" w:rsidRDefault="00541219">
            <w:pPr>
              <w:spacing w:after="160"/>
              <w:ind w:left="0" w:firstLine="0"/>
            </w:pPr>
          </w:p>
        </w:tc>
      </w:tr>
      <w:tr w:rsidR="00541219" w14:paraId="2C9C9C53"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21FAB3F6" w14:textId="77777777" w:rsidR="00541219" w:rsidRDefault="00000000">
            <w:pPr>
              <w:spacing w:after="0"/>
              <w:ind w:left="497" w:firstLine="0"/>
            </w:pPr>
            <w:r>
              <w:rPr>
                <w:sz w:val="8"/>
              </w:rPr>
              <w:t xml:space="preserve">          III - desenvolverão ações para robustecer o nível de atendimento do serviço de eletricidade das áreas rurais, especialmente nas regiões com potencial para o agronegócio e a agricultura familiar, conforme regulação da Aneel; e</w:t>
            </w:r>
          </w:p>
        </w:tc>
        <w:tc>
          <w:tcPr>
            <w:tcW w:w="0" w:type="auto"/>
            <w:gridSpan w:val="2"/>
            <w:vMerge/>
            <w:tcBorders>
              <w:top w:val="nil"/>
              <w:left w:val="single" w:sz="3" w:space="0" w:color="000000"/>
              <w:bottom w:val="nil"/>
              <w:right w:val="nil"/>
            </w:tcBorders>
          </w:tcPr>
          <w:p w14:paraId="29D6B2F8" w14:textId="77777777" w:rsidR="00541219" w:rsidRDefault="00541219">
            <w:pPr>
              <w:spacing w:after="160"/>
              <w:ind w:left="0" w:firstLine="0"/>
            </w:pPr>
          </w:p>
        </w:tc>
      </w:tr>
      <w:tr w:rsidR="00541219" w14:paraId="260EB99F"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0F25F9E4" w14:textId="77777777" w:rsidR="00541219" w:rsidRDefault="00000000">
            <w:pPr>
              <w:spacing w:after="0"/>
              <w:ind w:left="497" w:firstLine="0"/>
            </w:pPr>
            <w:r>
              <w:rPr>
                <w:sz w:val="8"/>
              </w:rPr>
              <w:t xml:space="preserve">          IV - </w:t>
            </w:r>
            <w:proofErr w:type="gramStart"/>
            <w:r>
              <w:rPr>
                <w:sz w:val="8"/>
              </w:rPr>
              <w:t>desenvolverão</w:t>
            </w:r>
            <w:proofErr w:type="gramEnd"/>
            <w:r>
              <w:rPr>
                <w:sz w:val="8"/>
              </w:rPr>
              <w:t xml:space="preserve"> ações que promovam a inclusão energética, a redução de perdas não técnicas, a regularização da prestação do serviço público em áreas de vulnerabilidade socioeconômica e o desenvolvimento tecnológico para a redução da pobreza energética, conforme diretriz do Ministério de Minas e Energia.</w:t>
            </w:r>
          </w:p>
        </w:tc>
        <w:tc>
          <w:tcPr>
            <w:tcW w:w="0" w:type="auto"/>
            <w:gridSpan w:val="2"/>
            <w:vMerge/>
            <w:tcBorders>
              <w:top w:val="nil"/>
              <w:left w:val="single" w:sz="3" w:space="0" w:color="000000"/>
              <w:bottom w:val="nil"/>
              <w:right w:val="nil"/>
            </w:tcBorders>
          </w:tcPr>
          <w:p w14:paraId="3EF05C39" w14:textId="77777777" w:rsidR="00541219" w:rsidRDefault="00541219">
            <w:pPr>
              <w:spacing w:after="160"/>
              <w:ind w:left="0" w:firstLine="0"/>
            </w:pPr>
          </w:p>
        </w:tc>
      </w:tr>
      <w:tr w:rsidR="00541219" w14:paraId="2990D04A"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1DF3C41B" w14:textId="77777777" w:rsidR="00541219" w:rsidRDefault="00000000">
            <w:pPr>
              <w:spacing w:after="0"/>
              <w:ind w:left="497" w:firstLine="0"/>
            </w:pPr>
            <w:r>
              <w:rPr>
                <w:sz w:val="8"/>
              </w:rPr>
              <w:t xml:space="preserve">          § 1o Os compromissos de que trata o caput serão realizados durante todo o período de vigência contratual, a partir da assinatura do termo aditivo ao contrato de concessão, com planos de investimentos estabelecidos para cada ciclo tarifário e acompanhamento pela Aneel.</w:t>
            </w:r>
          </w:p>
        </w:tc>
        <w:tc>
          <w:tcPr>
            <w:tcW w:w="0" w:type="auto"/>
            <w:gridSpan w:val="2"/>
            <w:vMerge/>
            <w:tcBorders>
              <w:top w:val="nil"/>
              <w:left w:val="single" w:sz="3" w:space="0" w:color="000000"/>
              <w:bottom w:val="nil"/>
              <w:right w:val="nil"/>
            </w:tcBorders>
          </w:tcPr>
          <w:p w14:paraId="2BB71441" w14:textId="77777777" w:rsidR="00541219" w:rsidRDefault="00541219">
            <w:pPr>
              <w:spacing w:after="160"/>
              <w:ind w:left="0" w:firstLine="0"/>
            </w:pPr>
          </w:p>
        </w:tc>
      </w:tr>
      <w:tr w:rsidR="00541219" w14:paraId="36A576A8"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33937615" w14:textId="77777777" w:rsidR="00541219" w:rsidRDefault="00000000">
            <w:pPr>
              <w:spacing w:after="0"/>
              <w:ind w:left="497" w:firstLine="0"/>
            </w:pPr>
            <w:r>
              <w:rPr>
                <w:sz w:val="8"/>
              </w:rPr>
              <w:t xml:space="preserve">          § 2o Os recursos para os investimentos de que tratam os incisos III e IV do caput advirão das receitas acessórias próprias e complementares e dos valores arrecadados referentes à ultrapassagem da demanda e ao excedente de reativos das concessionárias e poderão ser complementados por políticas públicas específicas estabelecidas para o mesmo fim.</w:t>
            </w:r>
          </w:p>
        </w:tc>
        <w:tc>
          <w:tcPr>
            <w:tcW w:w="0" w:type="auto"/>
            <w:gridSpan w:val="2"/>
            <w:vMerge/>
            <w:tcBorders>
              <w:top w:val="nil"/>
              <w:left w:val="single" w:sz="3" w:space="0" w:color="000000"/>
              <w:bottom w:val="nil"/>
              <w:right w:val="nil"/>
            </w:tcBorders>
          </w:tcPr>
          <w:p w14:paraId="3B25DD3E" w14:textId="77777777" w:rsidR="00541219" w:rsidRDefault="00541219">
            <w:pPr>
              <w:spacing w:after="160"/>
              <w:ind w:left="0" w:firstLine="0"/>
            </w:pPr>
          </w:p>
        </w:tc>
      </w:tr>
      <w:tr w:rsidR="00541219" w14:paraId="3D76DF8F"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04C5CA6D" w14:textId="77777777" w:rsidR="00541219" w:rsidRDefault="00000000">
            <w:pPr>
              <w:spacing w:after="0"/>
              <w:ind w:left="0" w:firstLine="0"/>
              <w:jc w:val="both"/>
            </w:pPr>
            <w:r>
              <w:rPr>
                <w:sz w:val="8"/>
              </w:rPr>
              <w:t>135. Pela leitura, depreende-se que os investimentos realizados pela distribuidora para atendimento das ações elencadas acima seriam feitos com recursos de Outras Receitas, ultrapassagem de demanda e excedente de reativos.</w:t>
            </w:r>
          </w:p>
        </w:tc>
        <w:tc>
          <w:tcPr>
            <w:tcW w:w="0" w:type="auto"/>
            <w:gridSpan w:val="2"/>
            <w:vMerge/>
            <w:tcBorders>
              <w:top w:val="nil"/>
              <w:left w:val="single" w:sz="3" w:space="0" w:color="000000"/>
              <w:bottom w:val="nil"/>
              <w:right w:val="nil"/>
            </w:tcBorders>
          </w:tcPr>
          <w:p w14:paraId="32F35E56" w14:textId="77777777" w:rsidR="00541219" w:rsidRDefault="00541219">
            <w:pPr>
              <w:spacing w:after="160"/>
              <w:ind w:left="0" w:firstLine="0"/>
            </w:pPr>
          </w:p>
        </w:tc>
      </w:tr>
      <w:tr w:rsidR="00541219" w14:paraId="7634597A" w14:textId="77777777">
        <w:trPr>
          <w:trHeight w:val="470"/>
        </w:trPr>
        <w:tc>
          <w:tcPr>
            <w:tcW w:w="5344" w:type="dxa"/>
            <w:tcBorders>
              <w:top w:val="single" w:sz="3" w:space="0" w:color="000000"/>
              <w:left w:val="single" w:sz="3" w:space="0" w:color="000000"/>
              <w:bottom w:val="single" w:sz="3" w:space="0" w:color="000000"/>
              <w:right w:val="single" w:sz="3" w:space="0" w:color="000000"/>
            </w:tcBorders>
          </w:tcPr>
          <w:p w14:paraId="146B5462" w14:textId="77777777" w:rsidR="00541219" w:rsidRDefault="00000000">
            <w:pPr>
              <w:spacing w:after="0"/>
              <w:ind w:left="0" w:right="5" w:firstLine="0"/>
            </w:pPr>
            <w:r>
              <w:rPr>
                <w:sz w:val="8"/>
              </w:rPr>
              <w:t>136. Sobre os incisos III e IV do art. 6o, vale mencionar, no entanto, que tais ações já são em grande medida financiadas pela própria tarifa, pois se tratam se atendimento ao seu mercado, e são de interesse econômico das próprias distribuidoras, a exemplo do: (i) reconhecimento eficiente das perdas não técnicas; (</w:t>
            </w:r>
            <w:proofErr w:type="spellStart"/>
            <w:r>
              <w:rPr>
                <w:sz w:val="8"/>
              </w:rPr>
              <w:t>ii</w:t>
            </w:r>
            <w:proofErr w:type="spellEnd"/>
            <w:r>
              <w:rPr>
                <w:sz w:val="8"/>
              </w:rPr>
              <w:t>) componente Q do Fator X que provê recursos para melhorar os indicadores de qualidade, inclusive em área rurais; e (</w:t>
            </w:r>
            <w:proofErr w:type="spellStart"/>
            <w:r>
              <w:rPr>
                <w:sz w:val="8"/>
              </w:rPr>
              <w:t>iii</w:t>
            </w:r>
            <w:proofErr w:type="spellEnd"/>
            <w:r>
              <w:rPr>
                <w:sz w:val="8"/>
              </w:rPr>
              <w:t>) Programa de Eficiência Energética – PEE, que provê recursos às concessionárias para que desenvolvam projetos que incentivam a adoção de tecnologias e práticas que aumentam a eficiência energética, culminando, por sua vez, na inclusão e redução da pobreza energética.</w:t>
            </w:r>
          </w:p>
        </w:tc>
        <w:tc>
          <w:tcPr>
            <w:tcW w:w="0" w:type="auto"/>
            <w:gridSpan w:val="2"/>
            <w:vMerge/>
            <w:tcBorders>
              <w:top w:val="nil"/>
              <w:left w:val="single" w:sz="3" w:space="0" w:color="000000"/>
              <w:bottom w:val="nil"/>
              <w:right w:val="nil"/>
            </w:tcBorders>
          </w:tcPr>
          <w:p w14:paraId="7490E880" w14:textId="77777777" w:rsidR="00541219" w:rsidRDefault="00541219">
            <w:pPr>
              <w:spacing w:after="160"/>
              <w:ind w:left="0" w:firstLine="0"/>
            </w:pPr>
          </w:p>
        </w:tc>
      </w:tr>
      <w:tr w:rsidR="00541219" w14:paraId="505347CC"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51599B93" w14:textId="77777777" w:rsidR="00541219" w:rsidRDefault="00000000">
            <w:pPr>
              <w:spacing w:after="0"/>
              <w:ind w:left="0" w:firstLine="0"/>
            </w:pPr>
            <w:r>
              <w:rPr>
                <w:sz w:val="8"/>
              </w:rPr>
              <w:t>137. Nesse sentido, o disposto no art. 6o não se trata de um ônus ou mesmo compromisso ao concessionário por ter o contrato prorrogado, pois não há contrapartida onerosa ou obrigação adicional ao acionista, pelo contrário, o concessionário obterá recursos adicionais para atender às obrigações atuais ou para realizar ações que faria independentemente de tais recursos, ou seja, não há garantias de que o resultado das ações será mais benéfico do que a modicidade tarifária que tais recursos atualmente proporcionam.</w:t>
            </w:r>
          </w:p>
        </w:tc>
        <w:tc>
          <w:tcPr>
            <w:tcW w:w="0" w:type="auto"/>
            <w:gridSpan w:val="2"/>
            <w:vMerge/>
            <w:tcBorders>
              <w:top w:val="nil"/>
              <w:left w:val="single" w:sz="3" w:space="0" w:color="000000"/>
              <w:bottom w:val="nil"/>
              <w:right w:val="nil"/>
            </w:tcBorders>
          </w:tcPr>
          <w:p w14:paraId="75B232C9" w14:textId="77777777" w:rsidR="00541219" w:rsidRDefault="00541219">
            <w:pPr>
              <w:spacing w:after="160"/>
              <w:ind w:left="0" w:firstLine="0"/>
            </w:pPr>
          </w:p>
        </w:tc>
      </w:tr>
      <w:tr w:rsidR="00541219" w14:paraId="40533DDC"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25F643D7" w14:textId="77777777" w:rsidR="00541219" w:rsidRDefault="00000000">
            <w:pPr>
              <w:spacing w:after="0"/>
              <w:ind w:left="0" w:firstLine="0"/>
            </w:pPr>
            <w:r>
              <w:rPr>
                <w:sz w:val="8"/>
              </w:rPr>
              <w:t>138. Assim, nem todo o montante obtido com o faturamento dessas receitas (Outras Receitas, ultrapassagem de demanda e excedente de reativos) deve ser utilizado para as ações listadas, restando a possibilidade de que parte ainda deva ser revertida à modicidade tarifária. Esse entendimento é reforçado pelo comando trazido pelo inciso XI do art. 4o do Decreto 12.068/24, onde o exercício de outras atividades empresariais e novos serviços pela concessionária deve favorecer a modicidade tarifária.</w:t>
            </w:r>
          </w:p>
        </w:tc>
        <w:tc>
          <w:tcPr>
            <w:tcW w:w="0" w:type="auto"/>
            <w:gridSpan w:val="2"/>
            <w:vMerge/>
            <w:tcBorders>
              <w:top w:val="nil"/>
              <w:left w:val="single" w:sz="3" w:space="0" w:color="000000"/>
              <w:bottom w:val="nil"/>
              <w:right w:val="nil"/>
            </w:tcBorders>
          </w:tcPr>
          <w:p w14:paraId="739543B4" w14:textId="77777777" w:rsidR="00541219" w:rsidRDefault="00541219">
            <w:pPr>
              <w:spacing w:after="160"/>
              <w:ind w:left="0" w:firstLine="0"/>
            </w:pPr>
          </w:p>
        </w:tc>
      </w:tr>
      <w:tr w:rsidR="00541219" w14:paraId="71CCA5C4"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5479094C" w14:textId="77777777" w:rsidR="00541219" w:rsidRDefault="00000000">
            <w:pPr>
              <w:spacing w:after="0"/>
              <w:ind w:left="0" w:firstLine="0"/>
              <w:jc w:val="both"/>
            </w:pPr>
            <w:r>
              <w:rPr>
                <w:sz w:val="8"/>
              </w:rPr>
              <w:t>139. Como as ações elencadas no art. 6o já contam com cobertura tarifária, torna-se necessário evitar que tais desembolsos sejam remunerados pela taxa regulatória e impedir o enriquecimento sem causa, de forma a evitar a duplicidade de cobertura.</w:t>
            </w:r>
          </w:p>
        </w:tc>
        <w:tc>
          <w:tcPr>
            <w:tcW w:w="0" w:type="auto"/>
            <w:gridSpan w:val="2"/>
            <w:vMerge/>
            <w:tcBorders>
              <w:top w:val="nil"/>
              <w:left w:val="single" w:sz="3" w:space="0" w:color="000000"/>
              <w:bottom w:val="nil"/>
              <w:right w:val="nil"/>
            </w:tcBorders>
          </w:tcPr>
          <w:p w14:paraId="4266836C" w14:textId="77777777" w:rsidR="00541219" w:rsidRDefault="00541219">
            <w:pPr>
              <w:spacing w:after="160"/>
              <w:ind w:left="0" w:firstLine="0"/>
            </w:pPr>
          </w:p>
        </w:tc>
      </w:tr>
      <w:tr w:rsidR="00541219" w14:paraId="3A91C320"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530040BF" w14:textId="77777777" w:rsidR="00541219" w:rsidRDefault="00000000">
            <w:pPr>
              <w:spacing w:after="0"/>
              <w:ind w:left="0" w:firstLine="0"/>
            </w:pPr>
            <w:r>
              <w:rPr>
                <w:sz w:val="8"/>
              </w:rPr>
              <w:t>140. O equilíbrio do contrato e modicidade tarifária são objetivos a serem perseguidos e entende-se que a duplicidade de cobertura não atenderia tais comandos. Atualmente, o instrumento regulatório que busca mitigar esse problema é a conta de Obrigações Especiais, que contabiliza os investimentos realizados com recursos não onerosos, apesar da regulação vigente estabelecer uma remuneração residual para tal fim. De toda forma, é possível estabelecer outras medidas regulatórias que possam caracterizar o efeito desse recurso não oneroso nas tarifas.</w:t>
            </w:r>
          </w:p>
        </w:tc>
        <w:tc>
          <w:tcPr>
            <w:tcW w:w="0" w:type="auto"/>
            <w:gridSpan w:val="2"/>
            <w:vMerge/>
            <w:tcBorders>
              <w:top w:val="nil"/>
              <w:left w:val="single" w:sz="3" w:space="0" w:color="000000"/>
              <w:bottom w:val="nil"/>
              <w:right w:val="nil"/>
            </w:tcBorders>
          </w:tcPr>
          <w:p w14:paraId="4BC0B2A2" w14:textId="77777777" w:rsidR="00541219" w:rsidRDefault="00541219">
            <w:pPr>
              <w:spacing w:after="160"/>
              <w:ind w:left="0" w:firstLine="0"/>
            </w:pPr>
          </w:p>
        </w:tc>
      </w:tr>
      <w:tr w:rsidR="00541219" w14:paraId="7027D493"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04F7670A" w14:textId="77777777" w:rsidR="00541219" w:rsidRDefault="00000000">
            <w:pPr>
              <w:spacing w:after="0"/>
              <w:ind w:left="0" w:firstLine="0"/>
            </w:pPr>
            <w:r>
              <w:rPr>
                <w:sz w:val="8"/>
              </w:rPr>
              <w:t>141. Assim, sugere-se alterar a Subcláusula Nona (que passa a ser Décima) da Cláusula Sexta abaixo:</w:t>
            </w:r>
          </w:p>
        </w:tc>
        <w:tc>
          <w:tcPr>
            <w:tcW w:w="0" w:type="auto"/>
            <w:gridSpan w:val="2"/>
            <w:vMerge/>
            <w:tcBorders>
              <w:top w:val="nil"/>
              <w:left w:val="single" w:sz="3" w:space="0" w:color="000000"/>
              <w:bottom w:val="nil"/>
              <w:right w:val="nil"/>
            </w:tcBorders>
          </w:tcPr>
          <w:p w14:paraId="223897E4" w14:textId="77777777" w:rsidR="00541219" w:rsidRDefault="00541219">
            <w:pPr>
              <w:spacing w:after="160"/>
              <w:ind w:left="0" w:firstLine="0"/>
            </w:pPr>
          </w:p>
        </w:tc>
      </w:tr>
      <w:tr w:rsidR="00541219" w14:paraId="238A93AD"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431307EF" w14:textId="77777777" w:rsidR="00541219" w:rsidRDefault="00000000">
            <w:pPr>
              <w:spacing w:after="0"/>
              <w:ind w:left="497" w:firstLine="0"/>
            </w:pPr>
            <w:r>
              <w:rPr>
                <w:sz w:val="8"/>
              </w:rPr>
              <w:t xml:space="preserve">     Subcláusula Décima – No processo de cálculo das tarifas mencionado na Subcláusula Vigésima desta Cláusula a ANEEL deverá subtrair da Parcela B as receitas faturadas no Período de Referência com Ultrapassagem de Demanda e Excedente de Reativo, além dos valores de Outras Receitas faturados no Período de Referência, e que não foram utilizadas para as ações elencadas nos incisos XIX e XX da Cláusula Terceira, conforme Subcláusula Décima Sétima desta Cláusula.</w:t>
            </w:r>
          </w:p>
        </w:tc>
        <w:tc>
          <w:tcPr>
            <w:tcW w:w="0" w:type="auto"/>
            <w:gridSpan w:val="2"/>
            <w:vMerge/>
            <w:tcBorders>
              <w:top w:val="nil"/>
              <w:left w:val="single" w:sz="3" w:space="0" w:color="000000"/>
              <w:bottom w:val="nil"/>
              <w:right w:val="nil"/>
            </w:tcBorders>
          </w:tcPr>
          <w:p w14:paraId="4C243178" w14:textId="77777777" w:rsidR="00541219" w:rsidRDefault="00541219">
            <w:pPr>
              <w:spacing w:after="160"/>
              <w:ind w:left="0" w:firstLine="0"/>
            </w:pPr>
          </w:p>
        </w:tc>
      </w:tr>
      <w:tr w:rsidR="00541219" w14:paraId="628C67D2"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1650077A" w14:textId="77777777" w:rsidR="00541219" w:rsidRDefault="00000000">
            <w:pPr>
              <w:spacing w:after="0"/>
              <w:ind w:left="0" w:firstLine="0"/>
            </w:pPr>
            <w:r>
              <w:rPr>
                <w:sz w:val="8"/>
              </w:rPr>
              <w:t>142. Também será necessária alterar a Subcláusula Décima Sétima da mesma Cláusula:</w:t>
            </w:r>
          </w:p>
        </w:tc>
        <w:tc>
          <w:tcPr>
            <w:tcW w:w="0" w:type="auto"/>
            <w:gridSpan w:val="2"/>
            <w:vMerge/>
            <w:tcBorders>
              <w:top w:val="nil"/>
              <w:left w:val="single" w:sz="3" w:space="0" w:color="000000"/>
              <w:bottom w:val="nil"/>
              <w:right w:val="nil"/>
            </w:tcBorders>
          </w:tcPr>
          <w:p w14:paraId="173B8C91" w14:textId="77777777" w:rsidR="00541219" w:rsidRDefault="00541219">
            <w:pPr>
              <w:spacing w:after="160"/>
              <w:ind w:left="0" w:firstLine="0"/>
            </w:pPr>
          </w:p>
        </w:tc>
      </w:tr>
      <w:tr w:rsidR="00541219" w14:paraId="690A36A8" w14:textId="77777777">
        <w:trPr>
          <w:trHeight w:val="338"/>
        </w:trPr>
        <w:tc>
          <w:tcPr>
            <w:tcW w:w="5344" w:type="dxa"/>
            <w:tcBorders>
              <w:top w:val="single" w:sz="3" w:space="0" w:color="000000"/>
              <w:left w:val="single" w:sz="3" w:space="0" w:color="000000"/>
              <w:bottom w:val="double" w:sz="3" w:space="0" w:color="000000"/>
              <w:right w:val="single" w:sz="3" w:space="0" w:color="000000"/>
            </w:tcBorders>
          </w:tcPr>
          <w:p w14:paraId="3F77D8A1" w14:textId="77777777" w:rsidR="00541219" w:rsidRDefault="00000000">
            <w:pPr>
              <w:spacing w:after="0"/>
              <w:ind w:left="497" w:right="8" w:firstLine="0"/>
            </w:pPr>
            <w:r>
              <w:rPr>
                <w:sz w:val="8"/>
              </w:rPr>
              <w:t xml:space="preserve">     Subcláusula Décima Sétima – As receitas auferidas pela DISTRIBUIDORA no exercício de outras atividades empresariais, referidas na Subcláusula Quinta da Cláusula Primeira, denominadas Outras Receitas, serão revertidas parcialmente à modicidade tarifária nos reposicionamentos tarifários ou às ações de que tratam os incisos XIX e XX da Cláusula Terceira, conforme regulação da ANEEL.</w:t>
            </w:r>
          </w:p>
        </w:tc>
        <w:tc>
          <w:tcPr>
            <w:tcW w:w="0" w:type="auto"/>
            <w:gridSpan w:val="2"/>
            <w:vMerge/>
            <w:tcBorders>
              <w:top w:val="nil"/>
              <w:left w:val="single" w:sz="3" w:space="0" w:color="000000"/>
              <w:bottom w:val="nil"/>
              <w:right w:val="nil"/>
            </w:tcBorders>
          </w:tcPr>
          <w:p w14:paraId="73BE5D32" w14:textId="77777777" w:rsidR="00541219" w:rsidRDefault="00541219">
            <w:pPr>
              <w:spacing w:after="160"/>
              <w:ind w:left="0" w:firstLine="0"/>
            </w:pPr>
          </w:p>
        </w:tc>
      </w:tr>
      <w:tr w:rsidR="00541219" w14:paraId="2913C93B" w14:textId="77777777">
        <w:trPr>
          <w:trHeight w:val="809"/>
        </w:trPr>
        <w:tc>
          <w:tcPr>
            <w:tcW w:w="5344" w:type="dxa"/>
            <w:tcBorders>
              <w:top w:val="double" w:sz="3" w:space="0" w:color="000000"/>
              <w:left w:val="single" w:sz="3" w:space="0" w:color="000000"/>
              <w:bottom w:val="single" w:sz="3" w:space="0" w:color="000000"/>
              <w:right w:val="single" w:sz="3" w:space="0" w:color="000000"/>
            </w:tcBorders>
          </w:tcPr>
          <w:p w14:paraId="47DFAFA9" w14:textId="77777777" w:rsidR="00541219" w:rsidRDefault="00000000">
            <w:pPr>
              <w:spacing w:after="27"/>
              <w:ind w:left="2" w:firstLine="0"/>
            </w:pPr>
            <w:r>
              <w:t>III.1.4 – Da gestão eficiente da concessão</w:t>
            </w:r>
          </w:p>
          <w:p w14:paraId="6B62BE0F" w14:textId="77777777" w:rsidR="00541219" w:rsidRDefault="00000000">
            <w:pPr>
              <w:spacing w:after="0"/>
              <w:ind w:left="0" w:firstLine="0"/>
            </w:pPr>
            <w:r>
              <w:rPr>
                <w:sz w:val="8"/>
              </w:rPr>
              <w:t>143. O Decreto 12.068/24 traz no inciso X do art.4º que o contrato de concessão deverá conter cláusulas que assegurem incentivos à gestão eficiente dos custos totais de operação e de capital. A Nota Técnica n° 14/2023/SAER/SE, documentação utilizada previamente à edição do Decreto para recebimento de contribuições em Consulta Pública sobre a temática, destaca a importância de incentivar a gestão eficiente dos ativos, mas com viés que privilegiava “a realização de investimentos em modernização de redes e serviços com possibilidade de remuneração parcial pela Base de Remuneração Regulatória (BRR), compatível com o serviço adequado”. Tal entendimento foi aprimorado pelo trazido na Nota Técnica n° 19/2023/SAER/SE, e que respaldou a edição do referido Decreto, tendo apontado para a necessidade de “equilibrar os incentivos entre investimentos e custos operacionais, pois atualmente os estímulos estão mais voltados para investimentos”, o que contribuiria, enfim, para reduzir os impactos tarifários para os consumidores.</w:t>
            </w:r>
          </w:p>
        </w:tc>
        <w:tc>
          <w:tcPr>
            <w:tcW w:w="0" w:type="auto"/>
            <w:gridSpan w:val="2"/>
            <w:vMerge/>
            <w:tcBorders>
              <w:top w:val="nil"/>
              <w:left w:val="single" w:sz="3" w:space="0" w:color="000000"/>
              <w:bottom w:val="nil"/>
              <w:right w:val="nil"/>
            </w:tcBorders>
          </w:tcPr>
          <w:p w14:paraId="46223338" w14:textId="77777777" w:rsidR="00541219" w:rsidRDefault="00541219">
            <w:pPr>
              <w:spacing w:after="160"/>
              <w:ind w:left="0" w:firstLine="0"/>
            </w:pPr>
          </w:p>
        </w:tc>
      </w:tr>
      <w:tr w:rsidR="00541219" w14:paraId="0172B88C"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771BA6C2" w14:textId="77777777" w:rsidR="00541219" w:rsidRDefault="00000000">
            <w:pPr>
              <w:spacing w:after="0"/>
              <w:ind w:left="0" w:firstLine="0"/>
            </w:pPr>
            <w:r>
              <w:rPr>
                <w:sz w:val="8"/>
              </w:rPr>
              <w:t>144. A diretriz sublinha a necessidade de racionalizar o uso de ativos depreciados contabilmente, mas ainda operacionais, e propõe incentivos a investimentos através de uma regulação focada em resultados, que pode estar vinculada ao estabelecimento de metas. O contrato de concessão vigente oferece várias alternativas para incentivar a gestão eficiente dos ativos, incluindo a definição de padrões de qualidade, continuidade e universalização, que a concessionária deve seguir sob pena de sanções contratuais.</w:t>
            </w:r>
          </w:p>
        </w:tc>
        <w:tc>
          <w:tcPr>
            <w:tcW w:w="0" w:type="auto"/>
            <w:gridSpan w:val="2"/>
            <w:vMerge/>
            <w:tcBorders>
              <w:top w:val="nil"/>
              <w:left w:val="single" w:sz="3" w:space="0" w:color="000000"/>
              <w:bottom w:val="nil"/>
              <w:right w:val="nil"/>
            </w:tcBorders>
          </w:tcPr>
          <w:p w14:paraId="7AD967DE" w14:textId="77777777" w:rsidR="00541219" w:rsidRDefault="00541219">
            <w:pPr>
              <w:spacing w:after="160"/>
              <w:ind w:left="0" w:firstLine="0"/>
            </w:pPr>
          </w:p>
        </w:tc>
      </w:tr>
      <w:tr w:rsidR="00541219" w14:paraId="0C55C7C6" w14:textId="77777777">
        <w:trPr>
          <w:trHeight w:val="470"/>
        </w:trPr>
        <w:tc>
          <w:tcPr>
            <w:tcW w:w="5344" w:type="dxa"/>
            <w:tcBorders>
              <w:top w:val="single" w:sz="3" w:space="0" w:color="000000"/>
              <w:left w:val="single" w:sz="3" w:space="0" w:color="000000"/>
              <w:bottom w:val="single" w:sz="3" w:space="0" w:color="000000"/>
              <w:right w:val="single" w:sz="3" w:space="0" w:color="000000"/>
            </w:tcBorders>
          </w:tcPr>
          <w:p w14:paraId="291E80F1" w14:textId="77777777" w:rsidR="00541219" w:rsidRDefault="00000000">
            <w:pPr>
              <w:spacing w:after="0"/>
              <w:ind w:left="0" w:firstLine="0"/>
            </w:pPr>
            <w:r>
              <w:rPr>
                <w:sz w:val="8"/>
              </w:rPr>
              <w:t>145. Do ponto de vista da regulação econômica, o reconhecimento do CAPEX nas tarifas utiliza ferramentas de incentivos mais tradicionais9 por meio de contabilidade regulatória, com uma base de ativos e taxa de depreciação regulatórias. A gestão eficiente dos ativos é incentivada pela possibilidade de glosas na base de remuneração de investimentos considerados não prudentes, o estabelecimento de um WACC adequado que não incentive excessos ou falta de investimentos, a definição de uma taxa de depreciação próxima da vida útil do equipamento e a criação de um banco de preços para a valoração dos ativos que estimule investimentos eficientes.</w:t>
            </w:r>
          </w:p>
        </w:tc>
        <w:tc>
          <w:tcPr>
            <w:tcW w:w="0" w:type="auto"/>
            <w:gridSpan w:val="2"/>
            <w:vMerge/>
            <w:tcBorders>
              <w:top w:val="nil"/>
              <w:left w:val="single" w:sz="3" w:space="0" w:color="000000"/>
              <w:bottom w:val="nil"/>
              <w:right w:val="nil"/>
            </w:tcBorders>
          </w:tcPr>
          <w:p w14:paraId="12456C3B" w14:textId="77777777" w:rsidR="00541219" w:rsidRDefault="00541219">
            <w:pPr>
              <w:spacing w:after="160"/>
              <w:ind w:left="0" w:firstLine="0"/>
            </w:pPr>
          </w:p>
        </w:tc>
      </w:tr>
      <w:tr w:rsidR="00541219" w14:paraId="5B38C085"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51DDB8D4" w14:textId="77777777" w:rsidR="00541219" w:rsidRDefault="00000000">
            <w:pPr>
              <w:spacing w:after="0"/>
              <w:ind w:left="0" w:right="3" w:firstLine="0"/>
            </w:pPr>
            <w:r>
              <w:rPr>
                <w:sz w:val="8"/>
              </w:rPr>
              <w:t>146. Embora existam essas ferramentas, o modelo atual tende a favorecer soluções que envolvem maior uso de CAPEX em detrimento do OPEX, devido ao instrumento contratual de definição de custo operacional eficiente oferecer incentivos econômicos mais fortes. Porém, pode ocorrer que o uso do CAPEX não seja a solução mais custo-efetiva para a concessão, especialmente em medidas que promovem eficiência energética.</w:t>
            </w:r>
          </w:p>
        </w:tc>
        <w:tc>
          <w:tcPr>
            <w:tcW w:w="0" w:type="auto"/>
            <w:gridSpan w:val="2"/>
            <w:vMerge/>
            <w:tcBorders>
              <w:top w:val="nil"/>
              <w:left w:val="single" w:sz="3" w:space="0" w:color="000000"/>
              <w:bottom w:val="nil"/>
              <w:right w:val="nil"/>
            </w:tcBorders>
          </w:tcPr>
          <w:p w14:paraId="4208808F" w14:textId="77777777" w:rsidR="00541219" w:rsidRDefault="00541219">
            <w:pPr>
              <w:spacing w:after="160"/>
              <w:ind w:left="0" w:firstLine="0"/>
            </w:pPr>
          </w:p>
        </w:tc>
      </w:tr>
      <w:tr w:rsidR="00541219" w14:paraId="5DF28EE0" w14:textId="77777777">
        <w:trPr>
          <w:trHeight w:val="564"/>
        </w:trPr>
        <w:tc>
          <w:tcPr>
            <w:tcW w:w="5344" w:type="dxa"/>
            <w:tcBorders>
              <w:top w:val="single" w:sz="3" w:space="0" w:color="000000"/>
              <w:left w:val="single" w:sz="3" w:space="0" w:color="000000"/>
              <w:bottom w:val="single" w:sz="3" w:space="0" w:color="000000"/>
              <w:right w:val="single" w:sz="3" w:space="0" w:color="000000"/>
            </w:tcBorders>
          </w:tcPr>
          <w:p w14:paraId="2B3E8E9A" w14:textId="77777777" w:rsidR="00541219" w:rsidRDefault="00000000">
            <w:pPr>
              <w:spacing w:after="0"/>
              <w:ind w:left="0" w:firstLine="0"/>
            </w:pPr>
            <w:r>
              <w:rPr>
                <w:sz w:val="8"/>
              </w:rPr>
              <w:t>147. O estímulo à gestão eficiente dos custos totais de operação e de capital pode ser alcançado por meio de um mecanismo que analise conjuntamente os custos de OPEX e CAPEX por benchmarking, utilizando a metodologia TOTEX, em vez de uma análise individualizada para cada parte. Ao receber uma anuidade regulatória baseada no TOTEX, a distribuidora é incentivada a manter ativos cuja vida útil ainda não se esgotou, mas cujo investimento já foi recuperado. Ou seja, essa metodologia aumenta a utilização eficiente de ativos pois, mesmo estando obsoletos economicamente (com base na metodologia de base de remuneração vigente nos contratos atuais), podem ser ainda úteis fisicamente, e isso reduz o risco de incentivo à substituição e, por sua vez, ao uso intensivo de CAPEX.</w:t>
            </w:r>
          </w:p>
        </w:tc>
        <w:tc>
          <w:tcPr>
            <w:tcW w:w="0" w:type="auto"/>
            <w:gridSpan w:val="2"/>
            <w:vMerge/>
            <w:tcBorders>
              <w:top w:val="nil"/>
              <w:left w:val="single" w:sz="3" w:space="0" w:color="000000"/>
              <w:bottom w:val="nil"/>
              <w:right w:val="nil"/>
            </w:tcBorders>
          </w:tcPr>
          <w:p w14:paraId="19F16D15" w14:textId="77777777" w:rsidR="00541219" w:rsidRDefault="00541219">
            <w:pPr>
              <w:spacing w:after="160"/>
              <w:ind w:left="0" w:firstLine="0"/>
            </w:pPr>
          </w:p>
        </w:tc>
      </w:tr>
      <w:tr w:rsidR="00541219" w14:paraId="57C7DBFD" w14:textId="77777777">
        <w:trPr>
          <w:trHeight w:val="470"/>
        </w:trPr>
        <w:tc>
          <w:tcPr>
            <w:tcW w:w="5344" w:type="dxa"/>
            <w:tcBorders>
              <w:top w:val="single" w:sz="3" w:space="0" w:color="000000"/>
              <w:left w:val="single" w:sz="3" w:space="0" w:color="000000"/>
              <w:bottom w:val="single" w:sz="3" w:space="0" w:color="000000"/>
              <w:right w:val="single" w:sz="3" w:space="0" w:color="000000"/>
            </w:tcBorders>
          </w:tcPr>
          <w:p w14:paraId="3D6015D2" w14:textId="77777777" w:rsidR="00541219" w:rsidRDefault="00000000">
            <w:pPr>
              <w:spacing w:after="0"/>
              <w:ind w:left="0" w:firstLine="0"/>
            </w:pPr>
            <w:r>
              <w:rPr>
                <w:sz w:val="8"/>
              </w:rPr>
              <w:t>148. Há desafios na implementação do TOTEX, pois o tipo de comparação feita para os custos operacionais precisa ser adaptado para uso no custo de capital, devido a alguns pontos, como heterogeneidade entre as empresas em termos de idade dos ativos, geografia, qualidade do serviço, irregularidade dos investimentos de capital, etc10. A experiência internacional, contudo, traz o aprendizado prático, e é importante que haja flexibilidade contratual para que, no futuro, a ANEEL possa aplicar outras metodologias de valoração de ativos, garantindo uma utilização mais eficiente deles.</w:t>
            </w:r>
          </w:p>
        </w:tc>
        <w:tc>
          <w:tcPr>
            <w:tcW w:w="0" w:type="auto"/>
            <w:gridSpan w:val="2"/>
            <w:vMerge/>
            <w:tcBorders>
              <w:top w:val="nil"/>
              <w:left w:val="single" w:sz="3" w:space="0" w:color="000000"/>
              <w:bottom w:val="nil"/>
              <w:right w:val="nil"/>
            </w:tcBorders>
          </w:tcPr>
          <w:p w14:paraId="2A31E917" w14:textId="77777777" w:rsidR="00541219" w:rsidRDefault="00541219">
            <w:pPr>
              <w:spacing w:after="160"/>
              <w:ind w:left="0" w:firstLine="0"/>
            </w:pPr>
          </w:p>
        </w:tc>
      </w:tr>
      <w:tr w:rsidR="00541219" w14:paraId="405D5832"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294F6170" w14:textId="77777777" w:rsidR="00541219" w:rsidRDefault="00000000">
            <w:pPr>
              <w:spacing w:after="0"/>
              <w:ind w:left="0" w:right="3" w:firstLine="0"/>
            </w:pPr>
            <w:r>
              <w:rPr>
                <w:sz w:val="8"/>
              </w:rPr>
              <w:t>149. Portanto, propõe-se ajustar a subcláusula Décima Segunda da Cláusula Sexta do contrato de concessão para conferir maior flexibilidade na aplicação do TOTEX, conforme o inciso VIII:</w:t>
            </w:r>
          </w:p>
        </w:tc>
        <w:tc>
          <w:tcPr>
            <w:tcW w:w="0" w:type="auto"/>
            <w:gridSpan w:val="2"/>
            <w:vMerge/>
            <w:tcBorders>
              <w:top w:val="nil"/>
              <w:left w:val="single" w:sz="3" w:space="0" w:color="000000"/>
              <w:bottom w:val="nil"/>
              <w:right w:val="nil"/>
            </w:tcBorders>
          </w:tcPr>
          <w:p w14:paraId="6559C812" w14:textId="77777777" w:rsidR="00541219" w:rsidRDefault="00541219">
            <w:pPr>
              <w:spacing w:after="160"/>
              <w:ind w:left="0" w:firstLine="0"/>
            </w:pPr>
          </w:p>
        </w:tc>
      </w:tr>
      <w:tr w:rsidR="00541219" w14:paraId="495BCA6B"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580D4117" w14:textId="77777777" w:rsidR="00541219" w:rsidRDefault="00000000">
            <w:pPr>
              <w:spacing w:after="0"/>
              <w:ind w:left="497" w:firstLine="0"/>
            </w:pPr>
            <w:r>
              <w:rPr>
                <w:sz w:val="8"/>
              </w:rPr>
              <w:t xml:space="preserve">     VIII – As Parcelas de Remuneração do Capital, Quota de Reintegração Regulatória e Custos Operacionais poderão ser calculadas de forma conjunta em forma de Anuidade Regulatória (TOTEX), observando o disposto nos incisos I e VII desta Subcláusula, contemplando mecanismos de estímulo à gestão eficiente dos custos totais de operação e de capital.</w:t>
            </w:r>
          </w:p>
        </w:tc>
        <w:tc>
          <w:tcPr>
            <w:tcW w:w="0" w:type="auto"/>
            <w:gridSpan w:val="2"/>
            <w:vMerge/>
            <w:tcBorders>
              <w:top w:val="nil"/>
              <w:left w:val="single" w:sz="3" w:space="0" w:color="000000"/>
              <w:bottom w:val="nil"/>
              <w:right w:val="nil"/>
            </w:tcBorders>
          </w:tcPr>
          <w:p w14:paraId="0F8701C6" w14:textId="77777777" w:rsidR="00541219" w:rsidRDefault="00541219">
            <w:pPr>
              <w:spacing w:after="160"/>
              <w:ind w:left="0" w:firstLine="0"/>
            </w:pPr>
          </w:p>
        </w:tc>
      </w:tr>
      <w:tr w:rsidR="00541219" w14:paraId="029FBF8E" w14:textId="77777777">
        <w:trPr>
          <w:trHeight w:val="245"/>
        </w:trPr>
        <w:tc>
          <w:tcPr>
            <w:tcW w:w="5344" w:type="dxa"/>
            <w:tcBorders>
              <w:top w:val="single" w:sz="3" w:space="0" w:color="000000"/>
              <w:left w:val="single" w:sz="3" w:space="0" w:color="000000"/>
              <w:bottom w:val="double" w:sz="3" w:space="0" w:color="000000"/>
              <w:right w:val="single" w:sz="3" w:space="0" w:color="000000"/>
            </w:tcBorders>
          </w:tcPr>
          <w:p w14:paraId="61713B44" w14:textId="77777777" w:rsidR="00541219" w:rsidRDefault="00000000">
            <w:pPr>
              <w:spacing w:after="0"/>
              <w:ind w:left="0" w:firstLine="0"/>
            </w:pPr>
            <w:r>
              <w:rPr>
                <w:sz w:val="8"/>
              </w:rPr>
              <w:t>150. Estas alterações visam garantir que a regulação econômica aplique modelos adequados às condições do setor, promovendo a modernização necessária para enfrentar os desafios futuros e incorporando inovações tecnológicas sem comprometer a qualidade do serviço prestado.</w:t>
            </w:r>
          </w:p>
        </w:tc>
        <w:tc>
          <w:tcPr>
            <w:tcW w:w="0" w:type="auto"/>
            <w:gridSpan w:val="2"/>
            <w:vMerge/>
            <w:tcBorders>
              <w:top w:val="nil"/>
              <w:left w:val="single" w:sz="3" w:space="0" w:color="000000"/>
              <w:bottom w:val="nil"/>
              <w:right w:val="nil"/>
            </w:tcBorders>
          </w:tcPr>
          <w:p w14:paraId="4FFB9C15" w14:textId="77777777" w:rsidR="00541219" w:rsidRDefault="00541219">
            <w:pPr>
              <w:spacing w:after="160"/>
              <w:ind w:left="0" w:firstLine="0"/>
            </w:pPr>
          </w:p>
        </w:tc>
      </w:tr>
      <w:tr w:rsidR="00541219" w14:paraId="618082ED" w14:textId="77777777">
        <w:trPr>
          <w:trHeight w:val="434"/>
        </w:trPr>
        <w:tc>
          <w:tcPr>
            <w:tcW w:w="5344" w:type="dxa"/>
            <w:tcBorders>
              <w:top w:val="double" w:sz="3" w:space="0" w:color="000000"/>
              <w:left w:val="single" w:sz="3" w:space="0" w:color="000000"/>
              <w:bottom w:val="single" w:sz="3" w:space="0" w:color="000000"/>
              <w:right w:val="single" w:sz="3" w:space="0" w:color="000000"/>
            </w:tcBorders>
          </w:tcPr>
          <w:p w14:paraId="4584499B" w14:textId="77777777" w:rsidR="00541219" w:rsidRDefault="00000000">
            <w:pPr>
              <w:spacing w:after="0"/>
              <w:ind w:left="2" w:firstLine="0"/>
            </w:pPr>
            <w:r>
              <w:t>III.1.5 – Da eficiência energética e pesquisa, desenvolvimento e inovação</w:t>
            </w:r>
          </w:p>
          <w:p w14:paraId="7F08A0CA" w14:textId="77777777" w:rsidR="00541219" w:rsidRDefault="00000000">
            <w:pPr>
              <w:spacing w:after="0"/>
              <w:ind w:left="0" w:firstLine="0"/>
            </w:pPr>
            <w:r>
              <w:rPr>
                <w:sz w:val="8"/>
              </w:rPr>
              <w:t>151. Desde os anos 1980 o governo brasileiro vem adotando iniciativas de políticas públicas para estimular a adoção de medidas de conservação e eficiência energética direcionadas especialmente para o setor elétrico. Vale mencionar o Programa de Conservação de Energia Elétrica em Eletrodomésticos, que posteriormente passou a ser denominado de Programa Brasileiro de Etiquetagem (PBE), e o Programa Nacional de Conservação de Energia elétrica (PROCEL).</w:t>
            </w:r>
          </w:p>
        </w:tc>
        <w:tc>
          <w:tcPr>
            <w:tcW w:w="0" w:type="auto"/>
            <w:gridSpan w:val="2"/>
            <w:vMerge/>
            <w:tcBorders>
              <w:top w:val="nil"/>
              <w:left w:val="single" w:sz="3" w:space="0" w:color="000000"/>
              <w:bottom w:val="nil"/>
              <w:right w:val="nil"/>
            </w:tcBorders>
          </w:tcPr>
          <w:p w14:paraId="090D624B" w14:textId="77777777" w:rsidR="00541219" w:rsidRDefault="00541219">
            <w:pPr>
              <w:spacing w:after="160"/>
              <w:ind w:left="0" w:firstLine="0"/>
            </w:pPr>
          </w:p>
        </w:tc>
      </w:tr>
    </w:tbl>
    <w:p w14:paraId="1A2BBA55" w14:textId="77777777" w:rsidR="00541219" w:rsidRDefault="00541219">
      <w:pPr>
        <w:spacing w:after="0"/>
        <w:ind w:left="-1440" w:right="8609" w:firstLine="0"/>
      </w:pPr>
    </w:p>
    <w:tbl>
      <w:tblPr>
        <w:tblStyle w:val="TableGrid"/>
        <w:tblW w:w="10264" w:type="dxa"/>
        <w:tblInd w:w="-688" w:type="dxa"/>
        <w:tblCellMar>
          <w:top w:w="0" w:type="dxa"/>
          <w:left w:w="19" w:type="dxa"/>
          <w:bottom w:w="0" w:type="dxa"/>
          <w:right w:w="19" w:type="dxa"/>
        </w:tblCellMar>
        <w:tblLook w:val="04A0" w:firstRow="1" w:lastRow="0" w:firstColumn="1" w:lastColumn="0" w:noHBand="0" w:noVBand="1"/>
      </w:tblPr>
      <w:tblGrid>
        <w:gridCol w:w="5344"/>
        <w:gridCol w:w="1229"/>
        <w:gridCol w:w="3691"/>
      </w:tblGrid>
      <w:tr w:rsidR="00541219" w14:paraId="558AE420" w14:textId="77777777">
        <w:trPr>
          <w:trHeight w:val="150"/>
        </w:trPr>
        <w:tc>
          <w:tcPr>
            <w:tcW w:w="10264" w:type="dxa"/>
            <w:gridSpan w:val="3"/>
            <w:tcBorders>
              <w:top w:val="single" w:sz="6" w:space="0" w:color="000000"/>
              <w:left w:val="single" w:sz="6" w:space="0" w:color="000000"/>
              <w:bottom w:val="single" w:sz="3" w:space="0" w:color="000000"/>
              <w:right w:val="single" w:sz="6" w:space="0" w:color="000000"/>
            </w:tcBorders>
          </w:tcPr>
          <w:p w14:paraId="1A980880" w14:textId="77777777" w:rsidR="00541219" w:rsidRDefault="00000000">
            <w:pPr>
              <w:spacing w:after="0"/>
              <w:ind w:left="15" w:firstLine="0"/>
              <w:jc w:val="center"/>
            </w:pPr>
            <w:r>
              <w:rPr>
                <w:color w:val="0000FF"/>
                <w:sz w:val="12"/>
              </w:rPr>
              <w:t>CONTRIBUIÇÃO REFERENTE À CONSULTA PÚBLICA Nº 27/2024</w:t>
            </w:r>
          </w:p>
        </w:tc>
      </w:tr>
      <w:tr w:rsidR="00541219" w14:paraId="606F1001" w14:textId="77777777">
        <w:trPr>
          <w:trHeight w:val="149"/>
        </w:trPr>
        <w:tc>
          <w:tcPr>
            <w:tcW w:w="10264" w:type="dxa"/>
            <w:gridSpan w:val="3"/>
            <w:tcBorders>
              <w:top w:val="single" w:sz="3" w:space="0" w:color="000000"/>
              <w:left w:val="single" w:sz="6" w:space="0" w:color="000000"/>
              <w:bottom w:val="single" w:sz="3" w:space="0" w:color="000000"/>
              <w:right w:val="single" w:sz="6" w:space="0" w:color="000000"/>
            </w:tcBorders>
          </w:tcPr>
          <w:p w14:paraId="4C5E805B" w14:textId="77777777" w:rsidR="00541219" w:rsidRDefault="00000000">
            <w:pPr>
              <w:spacing w:after="0"/>
              <w:ind w:left="3" w:firstLine="0"/>
              <w:jc w:val="center"/>
            </w:pPr>
            <w:r>
              <w:rPr>
                <w:color w:val="0000FF"/>
                <w:sz w:val="12"/>
              </w:rPr>
              <w:t>NOME DA INSTITUIÇÃO: CONCEN Conselho de Consumidores da Energisa Mato Grosso do Sul</w:t>
            </w:r>
          </w:p>
        </w:tc>
      </w:tr>
      <w:tr w:rsidR="00541219" w14:paraId="036C6595" w14:textId="77777777">
        <w:trPr>
          <w:trHeight w:val="149"/>
        </w:trPr>
        <w:tc>
          <w:tcPr>
            <w:tcW w:w="10264" w:type="dxa"/>
            <w:gridSpan w:val="3"/>
            <w:tcBorders>
              <w:top w:val="single" w:sz="3" w:space="0" w:color="000000"/>
              <w:left w:val="single" w:sz="6" w:space="0" w:color="000000"/>
              <w:bottom w:val="single" w:sz="3" w:space="0" w:color="000000"/>
              <w:right w:val="single" w:sz="6" w:space="0" w:color="000000"/>
            </w:tcBorders>
          </w:tcPr>
          <w:p w14:paraId="1FC5D440" w14:textId="77777777" w:rsidR="00541219" w:rsidRDefault="00000000">
            <w:pPr>
              <w:tabs>
                <w:tab w:val="center" w:pos="626"/>
                <w:tab w:val="center" w:pos="5122"/>
              </w:tabs>
              <w:spacing w:after="0"/>
              <w:ind w:left="0" w:firstLine="0"/>
            </w:pPr>
            <w:r>
              <w:rPr>
                <w:rFonts w:ascii="Calibri" w:eastAsia="Calibri" w:hAnsi="Calibri" w:cs="Calibri"/>
                <w:sz w:val="22"/>
              </w:rPr>
              <w:tab/>
            </w:r>
            <w:r>
              <w:rPr>
                <w:noProof/>
              </w:rPr>
              <w:drawing>
                <wp:inline distT="0" distB="0" distL="0" distR="0" wp14:anchorId="134B9286" wp14:editId="5540DAB2">
                  <wp:extent cx="585216" cy="362712"/>
                  <wp:effectExtent l="0" t="0" r="0" b="0"/>
                  <wp:docPr id="2547" name="Picture 2547"/>
                  <wp:cNvGraphicFramePr/>
                  <a:graphic xmlns:a="http://schemas.openxmlformats.org/drawingml/2006/main">
                    <a:graphicData uri="http://schemas.openxmlformats.org/drawingml/2006/picture">
                      <pic:pic xmlns:pic="http://schemas.openxmlformats.org/drawingml/2006/picture">
                        <pic:nvPicPr>
                          <pic:cNvPr id="2547" name="Picture 2547"/>
                          <pic:cNvPicPr/>
                        </pic:nvPicPr>
                        <pic:blipFill>
                          <a:blip r:embed="rId5"/>
                          <a:stretch>
                            <a:fillRect/>
                          </a:stretch>
                        </pic:blipFill>
                        <pic:spPr>
                          <a:xfrm>
                            <a:off x="0" y="0"/>
                            <a:ext cx="585216" cy="362712"/>
                          </a:xfrm>
                          <a:prstGeom prst="rect">
                            <a:avLst/>
                          </a:prstGeom>
                        </pic:spPr>
                      </pic:pic>
                    </a:graphicData>
                  </a:graphic>
                </wp:inline>
              </w:drawing>
            </w:r>
            <w:r>
              <w:rPr>
                <w:color w:val="0000FF"/>
                <w:sz w:val="12"/>
              </w:rPr>
              <w:tab/>
              <w:t>AGÊNCIA NACIONAL DE ENERGIA ELÉTRICA – ANEEL</w:t>
            </w:r>
          </w:p>
        </w:tc>
      </w:tr>
      <w:tr w:rsidR="00541219" w14:paraId="3CA7D791" w14:textId="77777777">
        <w:trPr>
          <w:trHeight w:val="178"/>
        </w:trPr>
        <w:tc>
          <w:tcPr>
            <w:tcW w:w="10264" w:type="dxa"/>
            <w:gridSpan w:val="3"/>
            <w:tcBorders>
              <w:top w:val="single" w:sz="3" w:space="0" w:color="000000"/>
              <w:left w:val="single" w:sz="6" w:space="0" w:color="000000"/>
              <w:bottom w:val="single" w:sz="3" w:space="0" w:color="000000"/>
              <w:right w:val="single" w:sz="6" w:space="0" w:color="000000"/>
            </w:tcBorders>
          </w:tcPr>
          <w:p w14:paraId="7081BFCC" w14:textId="77777777" w:rsidR="00541219" w:rsidRDefault="00000000">
            <w:pPr>
              <w:spacing w:after="0"/>
              <w:ind w:left="13" w:firstLine="0"/>
              <w:jc w:val="center"/>
            </w:pPr>
            <w:r>
              <w:rPr>
                <w:color w:val="0000FF"/>
              </w:rPr>
              <w:t>NOTA TÉCNICA nº 1.056/2024-SCE-SFF-SFT-SMA-STE-STD-STR/ANEEL de 09 de outubro de 2024.</w:t>
            </w:r>
          </w:p>
        </w:tc>
      </w:tr>
      <w:tr w:rsidR="00541219" w14:paraId="0953C1D7" w14:textId="77777777">
        <w:trPr>
          <w:trHeight w:val="194"/>
        </w:trPr>
        <w:tc>
          <w:tcPr>
            <w:tcW w:w="10264" w:type="dxa"/>
            <w:gridSpan w:val="3"/>
            <w:tcBorders>
              <w:top w:val="single" w:sz="3" w:space="0" w:color="000000"/>
              <w:left w:val="single" w:sz="6" w:space="0" w:color="000000"/>
              <w:bottom w:val="single" w:sz="3" w:space="0" w:color="000000"/>
              <w:right w:val="single" w:sz="6" w:space="0" w:color="000000"/>
            </w:tcBorders>
          </w:tcPr>
          <w:p w14:paraId="0E05A33B" w14:textId="77777777" w:rsidR="00541219" w:rsidRDefault="00000000">
            <w:pPr>
              <w:spacing w:after="0"/>
              <w:ind w:left="1" w:firstLine="0"/>
              <w:jc w:val="center"/>
            </w:pPr>
            <w:r>
              <w:rPr>
                <w:color w:val="0000FF"/>
              </w:rPr>
              <w:t xml:space="preserve">                                                               EMENTA: Obter subsídios para o aprimoramento da minuta de termo aditivo ao contrato de concessão de distribuição de energia elétrica com vistas à prorrogação das concessões.</w:t>
            </w:r>
          </w:p>
        </w:tc>
      </w:tr>
      <w:tr w:rsidR="00541219" w14:paraId="4A5167ED" w14:textId="77777777">
        <w:trPr>
          <w:trHeight w:val="132"/>
        </w:trPr>
        <w:tc>
          <w:tcPr>
            <w:tcW w:w="10264" w:type="dxa"/>
            <w:gridSpan w:val="3"/>
            <w:tcBorders>
              <w:top w:val="single" w:sz="3" w:space="0" w:color="000000"/>
              <w:left w:val="single" w:sz="6" w:space="0" w:color="000000"/>
              <w:bottom w:val="single" w:sz="3" w:space="0" w:color="000000"/>
              <w:right w:val="single" w:sz="6" w:space="0" w:color="000000"/>
            </w:tcBorders>
          </w:tcPr>
          <w:p w14:paraId="6D3FF971" w14:textId="77777777" w:rsidR="00541219" w:rsidRDefault="00000000">
            <w:pPr>
              <w:spacing w:after="0"/>
              <w:ind w:left="0" w:firstLine="0"/>
              <w:jc w:val="center"/>
            </w:pPr>
            <w:r>
              <w:rPr>
                <w:color w:val="0000FF"/>
                <w:sz w:val="11"/>
              </w:rPr>
              <w:t>CONTRIBUIÇÕES RECEBIDAS</w:t>
            </w:r>
          </w:p>
        </w:tc>
      </w:tr>
      <w:tr w:rsidR="00541219" w14:paraId="73B9858C" w14:textId="77777777">
        <w:trPr>
          <w:trHeight w:val="275"/>
        </w:trPr>
        <w:tc>
          <w:tcPr>
            <w:tcW w:w="10264" w:type="dxa"/>
            <w:gridSpan w:val="3"/>
            <w:tcBorders>
              <w:top w:val="single" w:sz="3" w:space="0" w:color="000000"/>
              <w:left w:val="single" w:sz="6" w:space="0" w:color="000000"/>
              <w:bottom w:val="single" w:sz="6" w:space="0" w:color="000000"/>
              <w:right w:val="single" w:sz="6" w:space="0" w:color="000000"/>
            </w:tcBorders>
          </w:tcPr>
          <w:p w14:paraId="300CBCF3" w14:textId="77777777" w:rsidR="00541219" w:rsidRDefault="00000000">
            <w:pPr>
              <w:spacing w:after="0"/>
              <w:ind w:left="0" w:firstLine="0"/>
            </w:pPr>
            <w:r>
              <w:t>IMPORTANTE: Os comentários e sugestões referentes às contribuições deverão ser fundamentados e justificados, mencionando-se os artigos, parágrafos e incisos a que se referem, devendo ser acompanhados de textos alternativos e substitutivos quando envolverem sugestões de inclusão ou alteração, parcial ou total, de qualquer dispositivo.</w:t>
            </w:r>
          </w:p>
        </w:tc>
      </w:tr>
      <w:tr w:rsidR="00541219" w14:paraId="6E3ED40D" w14:textId="77777777">
        <w:trPr>
          <w:trHeight w:val="213"/>
        </w:trPr>
        <w:tc>
          <w:tcPr>
            <w:tcW w:w="5344" w:type="dxa"/>
            <w:tcBorders>
              <w:top w:val="single" w:sz="6" w:space="0" w:color="000000"/>
              <w:left w:val="single" w:sz="6" w:space="0" w:color="000000"/>
              <w:bottom w:val="double" w:sz="4" w:space="0" w:color="000000"/>
              <w:right w:val="single" w:sz="6" w:space="0" w:color="000000"/>
            </w:tcBorders>
            <w:shd w:val="clear" w:color="auto" w:fill="FF0000"/>
          </w:tcPr>
          <w:p w14:paraId="2F4552CE" w14:textId="77777777" w:rsidR="00541219" w:rsidRDefault="00000000">
            <w:pPr>
              <w:spacing w:after="0"/>
              <w:ind w:left="2" w:firstLine="0"/>
              <w:jc w:val="center"/>
            </w:pPr>
            <w:r>
              <w:rPr>
                <w:color w:val="FFFFFF"/>
                <w:sz w:val="11"/>
              </w:rPr>
              <w:t xml:space="preserve">TEXTO/ANEEL </w:t>
            </w:r>
          </w:p>
        </w:tc>
        <w:tc>
          <w:tcPr>
            <w:tcW w:w="1229" w:type="dxa"/>
            <w:tcBorders>
              <w:top w:val="single" w:sz="6" w:space="0" w:color="000000"/>
              <w:left w:val="single" w:sz="6" w:space="0" w:color="000000"/>
              <w:bottom w:val="single" w:sz="6" w:space="0" w:color="000000"/>
              <w:right w:val="single" w:sz="6" w:space="0" w:color="000000"/>
            </w:tcBorders>
            <w:shd w:val="clear" w:color="auto" w:fill="FF0000"/>
          </w:tcPr>
          <w:p w14:paraId="118687EC" w14:textId="77777777" w:rsidR="00541219" w:rsidRDefault="00000000">
            <w:pPr>
              <w:spacing w:after="0"/>
              <w:ind w:left="70" w:firstLine="0"/>
            </w:pPr>
            <w:r>
              <w:rPr>
                <w:color w:val="FFFFFF"/>
                <w:sz w:val="11"/>
              </w:rPr>
              <w:t>TEXTO/INSTITUIÇÃO</w:t>
            </w:r>
          </w:p>
        </w:tc>
        <w:tc>
          <w:tcPr>
            <w:tcW w:w="3691" w:type="dxa"/>
            <w:tcBorders>
              <w:top w:val="single" w:sz="6" w:space="0" w:color="000000"/>
              <w:left w:val="single" w:sz="6" w:space="0" w:color="000000"/>
              <w:bottom w:val="single" w:sz="6" w:space="0" w:color="000000"/>
              <w:right w:val="single" w:sz="6" w:space="0" w:color="000000"/>
            </w:tcBorders>
            <w:shd w:val="clear" w:color="auto" w:fill="FF0000"/>
          </w:tcPr>
          <w:p w14:paraId="71192F77" w14:textId="77777777" w:rsidR="00541219" w:rsidRDefault="00000000">
            <w:pPr>
              <w:spacing w:after="0"/>
              <w:ind w:left="20" w:firstLine="0"/>
              <w:jc w:val="center"/>
            </w:pPr>
            <w:r>
              <w:rPr>
                <w:color w:val="FFFFFF"/>
                <w:sz w:val="11"/>
              </w:rPr>
              <w:t>JUSTIFICATIVA/INSTITUIÇÃO</w:t>
            </w:r>
          </w:p>
        </w:tc>
      </w:tr>
      <w:tr w:rsidR="00541219" w14:paraId="57AF9073" w14:textId="77777777">
        <w:trPr>
          <w:trHeight w:val="481"/>
        </w:trPr>
        <w:tc>
          <w:tcPr>
            <w:tcW w:w="5344" w:type="dxa"/>
            <w:tcBorders>
              <w:top w:val="double" w:sz="4" w:space="0" w:color="000000"/>
              <w:left w:val="single" w:sz="3" w:space="0" w:color="000000"/>
              <w:bottom w:val="single" w:sz="3" w:space="0" w:color="000000"/>
              <w:right w:val="single" w:sz="3" w:space="0" w:color="000000"/>
            </w:tcBorders>
          </w:tcPr>
          <w:p w14:paraId="7B59DF3F" w14:textId="77777777" w:rsidR="00541219" w:rsidRDefault="00000000">
            <w:pPr>
              <w:spacing w:after="0"/>
              <w:ind w:left="0" w:firstLine="0"/>
            </w:pPr>
            <w:r>
              <w:rPr>
                <w:sz w:val="8"/>
              </w:rPr>
              <w:t>152. Como o processo de privatização instaurado pelo governo federal nos anos 1990 incluiu as concessionárias de distribuição de energia elétrica, havia uma preocupação em garantir que os investimentos em medidas de conservação de energia fossem mantidos. Neste sentido, foi imposto às novas empresas de distribuição, por meio de cláusulas contratuais, a obrigatoriedade de destinar parte dos seus recursos a medidas de eficiência energética a partir de 1998. Dois anos depois, o governo federal criou um programa específico com legislação própria para garantir esses investimentos, o Programa de Eficiência Energética das Empresas de Distribuição (PEE), mediante comando da Lei 9.991, de 24 de julho de 2000.</w:t>
            </w:r>
          </w:p>
        </w:tc>
        <w:tc>
          <w:tcPr>
            <w:tcW w:w="4920" w:type="dxa"/>
            <w:gridSpan w:val="2"/>
            <w:vMerge w:val="restart"/>
            <w:tcBorders>
              <w:top w:val="single" w:sz="6" w:space="0" w:color="000000"/>
              <w:left w:val="single" w:sz="3" w:space="0" w:color="000000"/>
              <w:bottom w:val="single" w:sz="3" w:space="0" w:color="000000"/>
              <w:right w:val="nil"/>
            </w:tcBorders>
          </w:tcPr>
          <w:p w14:paraId="41D65CB6" w14:textId="77777777" w:rsidR="00541219" w:rsidRDefault="00541219">
            <w:pPr>
              <w:spacing w:after="160"/>
              <w:ind w:left="0" w:firstLine="0"/>
            </w:pPr>
          </w:p>
        </w:tc>
      </w:tr>
      <w:tr w:rsidR="00541219" w14:paraId="4EC42B8D" w14:textId="77777777">
        <w:trPr>
          <w:trHeight w:val="470"/>
        </w:trPr>
        <w:tc>
          <w:tcPr>
            <w:tcW w:w="5344" w:type="dxa"/>
            <w:tcBorders>
              <w:top w:val="single" w:sz="3" w:space="0" w:color="000000"/>
              <w:left w:val="single" w:sz="3" w:space="0" w:color="000000"/>
              <w:bottom w:val="single" w:sz="3" w:space="0" w:color="000000"/>
              <w:right w:val="single" w:sz="3" w:space="0" w:color="000000"/>
            </w:tcBorders>
          </w:tcPr>
          <w:p w14:paraId="05457FEC" w14:textId="77777777" w:rsidR="00541219" w:rsidRDefault="00000000">
            <w:pPr>
              <w:spacing w:after="0"/>
              <w:ind w:left="0" w:firstLine="0"/>
            </w:pPr>
            <w:r>
              <w:rPr>
                <w:sz w:val="8"/>
              </w:rPr>
              <w:lastRenderedPageBreak/>
              <w:t>153. O Programa de Eficiência Energética não é o único programa do governo federal a propor incentivos e/ou obrigatoriedades a agentes do setor elétrico para ações voltadas a maior eficiência energética. Porém, ele representa, hoje, o maior fundo para aplicações de recursos nesse sentido e é um instrumento importante para a política energética no país.14 O programa tem como principal foco a energia elétrica e a promoção do seu uso de maneira eficiente em todos os setores da economia. Sua origem decorre de uma série de iniciativas criadas como forma de incentivo ao uso racional dos recursos energéticos no país.</w:t>
            </w:r>
          </w:p>
        </w:tc>
        <w:tc>
          <w:tcPr>
            <w:tcW w:w="0" w:type="auto"/>
            <w:gridSpan w:val="2"/>
            <w:vMerge/>
            <w:tcBorders>
              <w:top w:val="nil"/>
              <w:left w:val="single" w:sz="3" w:space="0" w:color="000000"/>
              <w:bottom w:val="nil"/>
              <w:right w:val="nil"/>
            </w:tcBorders>
          </w:tcPr>
          <w:p w14:paraId="564922AD" w14:textId="77777777" w:rsidR="00541219" w:rsidRDefault="00541219">
            <w:pPr>
              <w:spacing w:after="160"/>
              <w:ind w:left="0" w:firstLine="0"/>
            </w:pPr>
          </w:p>
        </w:tc>
      </w:tr>
      <w:tr w:rsidR="00541219" w14:paraId="28D4CC71"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56C79EDB" w14:textId="77777777" w:rsidR="00541219" w:rsidRDefault="00000000">
            <w:pPr>
              <w:spacing w:after="0"/>
              <w:ind w:left="0" w:firstLine="0"/>
            </w:pPr>
            <w:r>
              <w:rPr>
                <w:sz w:val="8"/>
              </w:rPr>
              <w:t>154. Assim, a manutenção do comando nos contratos de concessão vindouros assegurará a atuação sobre o problema do uso racional e não racional da energia elétrica, garantindo que ações de eficiência energética sejam perenes e implantadas em todo o país.</w:t>
            </w:r>
          </w:p>
        </w:tc>
        <w:tc>
          <w:tcPr>
            <w:tcW w:w="0" w:type="auto"/>
            <w:gridSpan w:val="2"/>
            <w:vMerge/>
            <w:tcBorders>
              <w:top w:val="nil"/>
              <w:left w:val="single" w:sz="3" w:space="0" w:color="000000"/>
              <w:bottom w:val="nil"/>
              <w:right w:val="nil"/>
            </w:tcBorders>
          </w:tcPr>
          <w:p w14:paraId="43262135" w14:textId="77777777" w:rsidR="00541219" w:rsidRDefault="00541219">
            <w:pPr>
              <w:spacing w:after="160"/>
              <w:ind w:left="0" w:firstLine="0"/>
            </w:pPr>
          </w:p>
        </w:tc>
      </w:tr>
      <w:tr w:rsidR="00541219" w14:paraId="29BA0FD5"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06B3CAE5" w14:textId="77777777" w:rsidR="00541219" w:rsidRDefault="00000000">
            <w:pPr>
              <w:spacing w:after="0"/>
              <w:ind w:left="0" w:firstLine="0"/>
            </w:pPr>
            <w:r>
              <w:rPr>
                <w:sz w:val="8"/>
              </w:rPr>
              <w:t>155. Mencione-se que a eficiência energética é um dos pilares fundamentais da transição energética, tal como preconiza a Agência Internacional de Energia (IEA). 16 Isso se deve ao seu papel crucial em reduzir a demanda por energia, o que, por sua vez, diminui a demanda por recursos energéticos e reduz as emissões de gases de efeito estufa, contribuindo para um sistema energético mais limpo e sustentável, amenizando a emergência climática.</w:t>
            </w:r>
          </w:p>
        </w:tc>
        <w:tc>
          <w:tcPr>
            <w:tcW w:w="0" w:type="auto"/>
            <w:gridSpan w:val="2"/>
            <w:vMerge/>
            <w:tcBorders>
              <w:top w:val="nil"/>
              <w:left w:val="single" w:sz="3" w:space="0" w:color="000000"/>
              <w:bottom w:val="nil"/>
              <w:right w:val="nil"/>
            </w:tcBorders>
          </w:tcPr>
          <w:p w14:paraId="3A7B5D60" w14:textId="77777777" w:rsidR="00541219" w:rsidRDefault="00541219">
            <w:pPr>
              <w:spacing w:after="160"/>
              <w:ind w:left="0" w:firstLine="0"/>
            </w:pPr>
          </w:p>
        </w:tc>
      </w:tr>
      <w:tr w:rsidR="00541219" w14:paraId="02599B8D"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61FE1DB1" w14:textId="77777777" w:rsidR="00541219" w:rsidRDefault="00000000">
            <w:pPr>
              <w:spacing w:after="0"/>
              <w:ind w:left="0" w:firstLine="0"/>
            </w:pPr>
            <w:r>
              <w:rPr>
                <w:sz w:val="8"/>
              </w:rPr>
              <w:t>156. No que se refere a Pesquisa, Desenvolvimento e Inovação, também foi incluída na Lei 9.991/2000 - legislação que consolida uma tendência que se iniciou na década de 1990, quando as políticas de ciência e tecnologia (C&amp;T) no Brasil passaram a incorporar mecanismos de fomento explicitamente dirigidos ao setor produtivo.</w:t>
            </w:r>
          </w:p>
        </w:tc>
        <w:tc>
          <w:tcPr>
            <w:tcW w:w="0" w:type="auto"/>
            <w:gridSpan w:val="2"/>
            <w:vMerge/>
            <w:tcBorders>
              <w:top w:val="nil"/>
              <w:left w:val="single" w:sz="3" w:space="0" w:color="000000"/>
              <w:bottom w:val="nil"/>
              <w:right w:val="nil"/>
            </w:tcBorders>
          </w:tcPr>
          <w:p w14:paraId="6CC5FBCB" w14:textId="77777777" w:rsidR="00541219" w:rsidRDefault="00541219">
            <w:pPr>
              <w:spacing w:after="160"/>
              <w:ind w:left="0" w:firstLine="0"/>
            </w:pPr>
          </w:p>
        </w:tc>
      </w:tr>
      <w:tr w:rsidR="00541219" w14:paraId="05ED1CDE" w14:textId="77777777">
        <w:trPr>
          <w:trHeight w:val="470"/>
        </w:trPr>
        <w:tc>
          <w:tcPr>
            <w:tcW w:w="5344" w:type="dxa"/>
            <w:tcBorders>
              <w:top w:val="single" w:sz="3" w:space="0" w:color="000000"/>
              <w:left w:val="single" w:sz="3" w:space="0" w:color="000000"/>
              <w:bottom w:val="single" w:sz="3" w:space="0" w:color="000000"/>
              <w:right w:val="single" w:sz="3" w:space="0" w:color="000000"/>
            </w:tcBorders>
          </w:tcPr>
          <w:p w14:paraId="42B12CFD" w14:textId="77777777" w:rsidR="00541219" w:rsidRDefault="00000000">
            <w:pPr>
              <w:spacing w:after="0"/>
              <w:ind w:left="0" w:right="3" w:firstLine="0"/>
            </w:pPr>
            <w:r>
              <w:rPr>
                <w:sz w:val="8"/>
              </w:rPr>
              <w:t>157. Na época, diversos movimentos foram observados no marco institucional das atividades de ciência, tecnologia e inovação (CT&amp;I) no país como resultado da crescente ênfase na inovação. Assim, em 1999, foram criados os fundos setoriais de ciência e tecnologia e, em meados da década de 2000, foi promulgada a “Lei de Inovação” (Lei no 10.973/2004). Ainda em meados daquela década, foi aperfeiçoada a legislação relativa aos incentivos ficais para a inovação, que passaram a compor a “Lei do Bem” (Lei no 11.196/2005), e intensificaram-se os programas e as chamadas públicas para apoio a empresas pela Financiadora de Estudos e Projetos (FINEP).</w:t>
            </w:r>
          </w:p>
        </w:tc>
        <w:tc>
          <w:tcPr>
            <w:tcW w:w="0" w:type="auto"/>
            <w:gridSpan w:val="2"/>
            <w:vMerge/>
            <w:tcBorders>
              <w:top w:val="nil"/>
              <w:left w:val="single" w:sz="3" w:space="0" w:color="000000"/>
              <w:bottom w:val="nil"/>
              <w:right w:val="nil"/>
            </w:tcBorders>
          </w:tcPr>
          <w:p w14:paraId="2217CBAB" w14:textId="77777777" w:rsidR="00541219" w:rsidRDefault="00541219">
            <w:pPr>
              <w:spacing w:after="160"/>
              <w:ind w:left="0" w:firstLine="0"/>
            </w:pPr>
          </w:p>
        </w:tc>
      </w:tr>
      <w:tr w:rsidR="00541219" w14:paraId="6E480C84"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74791789" w14:textId="77777777" w:rsidR="00541219" w:rsidRDefault="00000000">
            <w:pPr>
              <w:spacing w:after="0"/>
              <w:ind w:left="0" w:right="15" w:firstLine="0"/>
            </w:pPr>
            <w:r>
              <w:rPr>
                <w:sz w:val="8"/>
              </w:rPr>
              <w:t>158. Essas tendências também foram adotadas em âmbito setorial, o que foi identificada no setor elétrico na forma da Lei 9.991/2000, que tal como quanto a eficiência energética, converteu em comando legal as cláusulas contratais das concessões, ampliando a obrigação para todos os segmentos do setor elétrico - distribuição, transmissão e geração.</w:t>
            </w:r>
          </w:p>
        </w:tc>
        <w:tc>
          <w:tcPr>
            <w:tcW w:w="0" w:type="auto"/>
            <w:gridSpan w:val="2"/>
            <w:vMerge/>
            <w:tcBorders>
              <w:top w:val="nil"/>
              <w:left w:val="single" w:sz="3" w:space="0" w:color="000000"/>
              <w:bottom w:val="nil"/>
              <w:right w:val="nil"/>
            </w:tcBorders>
          </w:tcPr>
          <w:p w14:paraId="6488C706" w14:textId="77777777" w:rsidR="00541219" w:rsidRDefault="00541219">
            <w:pPr>
              <w:spacing w:after="160"/>
              <w:ind w:left="0" w:firstLine="0"/>
            </w:pPr>
          </w:p>
        </w:tc>
      </w:tr>
      <w:tr w:rsidR="00541219" w14:paraId="594C5E7E" w14:textId="77777777">
        <w:trPr>
          <w:trHeight w:val="658"/>
        </w:trPr>
        <w:tc>
          <w:tcPr>
            <w:tcW w:w="5344" w:type="dxa"/>
            <w:tcBorders>
              <w:top w:val="single" w:sz="3" w:space="0" w:color="000000"/>
              <w:left w:val="single" w:sz="3" w:space="0" w:color="000000"/>
              <w:bottom w:val="single" w:sz="3" w:space="0" w:color="000000"/>
              <w:right w:val="single" w:sz="3" w:space="0" w:color="000000"/>
            </w:tcBorders>
          </w:tcPr>
          <w:p w14:paraId="5D150DE6" w14:textId="77777777" w:rsidR="00541219" w:rsidRDefault="00000000">
            <w:pPr>
              <w:spacing w:after="0"/>
              <w:ind w:left="0" w:firstLine="0"/>
            </w:pPr>
            <w:r>
              <w:rPr>
                <w:sz w:val="8"/>
              </w:rPr>
              <w:t>159. Mais recentemente, em 26 de fevereiro de 2015, foi aprovada a Emenda Constitucional no 85 - EC 85/2015, também conhecida como “Emenda da Inovação”, que introduziu a inovação como atividade de Estado e adicionou dispositivos na Constituição Federal para atualizar o tratamento das atividades de ciência, tecnologia e inovação. Mencione-se alterações no Artigo 218 da Constituição Federal, que estabelece que “O Estado promoverá e incentivará o desenvolvimento científico, a pesquisa, a capacitação científica e tecnológica e a inovação”, bem como nos demais artigos do Capítulo IV – DA CIÊNCIA, TECNOLOGIA E INOVAÇÃO, dentre outras. Um dos principais objetivos da EC 85/2015 é impulsionar a pesquisa nacional e a criação de soluções tecnológicas que aperfeiçoem a atuação do setor produtivo e consequente alteração do Marco Legal vigente para a Ciência, Tecnologia e Inovação.</w:t>
            </w:r>
          </w:p>
        </w:tc>
        <w:tc>
          <w:tcPr>
            <w:tcW w:w="0" w:type="auto"/>
            <w:gridSpan w:val="2"/>
            <w:vMerge/>
            <w:tcBorders>
              <w:top w:val="nil"/>
              <w:left w:val="single" w:sz="3" w:space="0" w:color="000000"/>
              <w:bottom w:val="nil"/>
              <w:right w:val="nil"/>
            </w:tcBorders>
          </w:tcPr>
          <w:p w14:paraId="0BC32AC4" w14:textId="77777777" w:rsidR="00541219" w:rsidRDefault="00541219">
            <w:pPr>
              <w:spacing w:after="160"/>
              <w:ind w:left="0" w:firstLine="0"/>
            </w:pPr>
          </w:p>
        </w:tc>
      </w:tr>
      <w:tr w:rsidR="00541219" w14:paraId="5A49DD8F" w14:textId="77777777">
        <w:trPr>
          <w:trHeight w:val="338"/>
        </w:trPr>
        <w:tc>
          <w:tcPr>
            <w:tcW w:w="5344" w:type="dxa"/>
            <w:tcBorders>
              <w:top w:val="single" w:sz="3" w:space="0" w:color="000000"/>
              <w:left w:val="single" w:sz="3" w:space="0" w:color="000000"/>
              <w:bottom w:val="double" w:sz="3" w:space="0" w:color="000000"/>
              <w:right w:val="single" w:sz="3" w:space="0" w:color="000000"/>
            </w:tcBorders>
          </w:tcPr>
          <w:p w14:paraId="61D1F7F0" w14:textId="77777777" w:rsidR="00541219" w:rsidRDefault="00000000">
            <w:pPr>
              <w:spacing w:after="0"/>
              <w:ind w:left="0" w:right="25" w:firstLine="0"/>
              <w:jc w:val="both"/>
            </w:pPr>
            <w:r>
              <w:rPr>
                <w:sz w:val="8"/>
              </w:rPr>
              <w:t>160. Sendo assim, a referência a investimentos obrigatórios nos contratos de concessão assegurará a perenidade dos esforços das concessionárias também na promoção do desenvolvimento tecnológico do setor elétrico brasileiro. Esses investimentos permitirão a inovação tecnológica, a sustentabilidade ambiental, a segurança energética e o desenvolvimento econômico do País.</w:t>
            </w:r>
          </w:p>
        </w:tc>
        <w:tc>
          <w:tcPr>
            <w:tcW w:w="0" w:type="auto"/>
            <w:gridSpan w:val="2"/>
            <w:vMerge/>
            <w:tcBorders>
              <w:top w:val="nil"/>
              <w:left w:val="single" w:sz="3" w:space="0" w:color="000000"/>
              <w:bottom w:val="single" w:sz="3" w:space="0" w:color="000000"/>
              <w:right w:val="nil"/>
            </w:tcBorders>
          </w:tcPr>
          <w:p w14:paraId="4F21AF2B" w14:textId="77777777" w:rsidR="00541219" w:rsidRDefault="00541219">
            <w:pPr>
              <w:spacing w:after="160"/>
              <w:ind w:left="0" w:firstLine="0"/>
            </w:pPr>
          </w:p>
        </w:tc>
      </w:tr>
      <w:tr w:rsidR="00541219" w14:paraId="78866D5E" w14:textId="77777777">
        <w:trPr>
          <w:trHeight w:val="528"/>
        </w:trPr>
        <w:tc>
          <w:tcPr>
            <w:tcW w:w="5344" w:type="dxa"/>
            <w:tcBorders>
              <w:top w:val="double" w:sz="3" w:space="0" w:color="000000"/>
              <w:left w:val="single" w:sz="3" w:space="0" w:color="000000"/>
              <w:bottom w:val="single" w:sz="3" w:space="0" w:color="000000"/>
              <w:right w:val="single" w:sz="3" w:space="0" w:color="000000"/>
            </w:tcBorders>
          </w:tcPr>
          <w:p w14:paraId="5EC5A817" w14:textId="77777777" w:rsidR="00541219" w:rsidRDefault="00000000">
            <w:pPr>
              <w:spacing w:after="0"/>
              <w:ind w:left="2" w:firstLine="0"/>
            </w:pPr>
            <w:r>
              <w:t>III.1.6 – Da governança corporativa</w:t>
            </w:r>
          </w:p>
          <w:p w14:paraId="5FCE5ED5" w14:textId="77777777" w:rsidR="00541219" w:rsidRDefault="00000000">
            <w:pPr>
              <w:spacing w:after="0"/>
              <w:ind w:left="0" w:right="5" w:firstLine="0"/>
            </w:pPr>
            <w:r>
              <w:rPr>
                <w:sz w:val="8"/>
              </w:rPr>
              <w:t xml:space="preserve">161. Desde 2015, o fortalecimento da governança corporativa no segmento de distribuição está presente nos contratos de concessões, sendo estabelecida no Decreto nº 8.461/2015 que regulamentou a prorrogação das concessões de distribuição, com objetivo de criar mecanismos de freios e contrapesos </w:t>
            </w:r>
            <w:proofErr w:type="gramStart"/>
            <w:r>
              <w:rPr>
                <w:sz w:val="8"/>
              </w:rPr>
              <w:t>que  limitassem</w:t>
            </w:r>
            <w:proofErr w:type="gramEnd"/>
            <w:r>
              <w:rPr>
                <w:sz w:val="8"/>
              </w:rPr>
              <w:t xml:space="preserve"> a concentração do poder decisório do grupo, mantendo o equilíbrio dos interesses dos stakeholders com os dos consumidores. Sendo que a principal motivação para essa inclusão no Decreto foi o colapso do Grupo Rede Energia, o que resultou à época na intervenção administrativa das empresas do grupo para garantir a continuidade do serviço.</w:t>
            </w:r>
          </w:p>
        </w:tc>
        <w:tc>
          <w:tcPr>
            <w:tcW w:w="1229" w:type="dxa"/>
            <w:tcBorders>
              <w:top w:val="single" w:sz="3" w:space="0" w:color="000000"/>
              <w:left w:val="single" w:sz="3" w:space="0" w:color="000000"/>
              <w:bottom w:val="single" w:sz="3" w:space="0" w:color="000000"/>
              <w:right w:val="single" w:sz="3" w:space="0" w:color="000000"/>
            </w:tcBorders>
            <w:vAlign w:val="center"/>
          </w:tcPr>
          <w:p w14:paraId="0B19017A"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vAlign w:val="center"/>
          </w:tcPr>
          <w:p w14:paraId="595A4E9B" w14:textId="77777777" w:rsidR="00541219" w:rsidRDefault="00000000">
            <w:pPr>
              <w:spacing w:after="0"/>
              <w:ind w:left="5" w:firstLine="0"/>
            </w:pPr>
            <w:r>
              <w:t>Apesar de não ter ocorrido a falta do serviço, a intervenção da Aneel foi essencial.</w:t>
            </w:r>
          </w:p>
        </w:tc>
      </w:tr>
      <w:tr w:rsidR="00541219" w14:paraId="06E156F0"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581E9FEA" w14:textId="77777777" w:rsidR="00541219" w:rsidRDefault="00000000">
            <w:pPr>
              <w:spacing w:after="0"/>
              <w:ind w:left="0" w:right="17" w:firstLine="0"/>
            </w:pPr>
            <w:r>
              <w:rPr>
                <w:sz w:val="8"/>
              </w:rPr>
              <w:t>162. Tendo em vista a previsão no Decreto no 8.461/2015, que as distribuidoras deveriam observar a regulação da ANEEL sob o aspecto de governança e transparência, a agência realizou extensas discussões em Audiências Públicas com a academia, empresas, sociedade e representantes do setor de distribuição, assim, posteriormente, foi publicada a Resolução Normativa no 787/2017 – REN 787, trazendo a primeira regulamentação sobre a avaliação dos sistemas de governança corporativa a ser aplicada às distribuidoras de energia elétrica.</w:t>
            </w:r>
          </w:p>
        </w:tc>
        <w:tc>
          <w:tcPr>
            <w:tcW w:w="4920" w:type="dxa"/>
            <w:gridSpan w:val="2"/>
            <w:vMerge w:val="restart"/>
            <w:tcBorders>
              <w:top w:val="single" w:sz="3" w:space="0" w:color="000000"/>
              <w:left w:val="single" w:sz="3" w:space="0" w:color="000000"/>
              <w:bottom w:val="nil"/>
              <w:right w:val="nil"/>
            </w:tcBorders>
          </w:tcPr>
          <w:p w14:paraId="29E9BC16" w14:textId="77777777" w:rsidR="00541219" w:rsidRDefault="00541219">
            <w:pPr>
              <w:spacing w:after="160"/>
              <w:ind w:left="0" w:firstLine="0"/>
            </w:pPr>
          </w:p>
        </w:tc>
      </w:tr>
      <w:tr w:rsidR="00541219" w14:paraId="44C0EB1F" w14:textId="77777777">
        <w:trPr>
          <w:trHeight w:val="470"/>
        </w:trPr>
        <w:tc>
          <w:tcPr>
            <w:tcW w:w="5344" w:type="dxa"/>
            <w:tcBorders>
              <w:top w:val="single" w:sz="3" w:space="0" w:color="000000"/>
              <w:left w:val="single" w:sz="3" w:space="0" w:color="000000"/>
              <w:bottom w:val="single" w:sz="3" w:space="0" w:color="000000"/>
              <w:right w:val="single" w:sz="3" w:space="0" w:color="000000"/>
            </w:tcBorders>
          </w:tcPr>
          <w:p w14:paraId="0DD0D87B" w14:textId="77777777" w:rsidR="00541219" w:rsidRDefault="00000000">
            <w:pPr>
              <w:spacing w:after="0"/>
              <w:ind w:left="0" w:firstLine="0"/>
            </w:pPr>
            <w:r>
              <w:rPr>
                <w:sz w:val="8"/>
              </w:rPr>
              <w:t xml:space="preserve">163. Ressalta-se, que a REN 787 e a Resolução Normativa no 907, de 2020 – REN 907, que alterou a REN 787, foram consolidadas e revogadas pela REN </w:t>
            </w:r>
          </w:p>
          <w:p w14:paraId="200DAF5E" w14:textId="77777777" w:rsidR="00541219" w:rsidRDefault="00000000">
            <w:pPr>
              <w:spacing w:after="0"/>
              <w:ind w:left="0" w:right="243" w:firstLine="0"/>
              <w:jc w:val="both"/>
            </w:pPr>
            <w:r>
              <w:rPr>
                <w:sz w:val="8"/>
              </w:rPr>
              <w:t xml:space="preserve">948 e seus conteúdos normativos foram consolidados no módulo VII – Avaliação da qualidade dos sistemas de governança das concessionárias de distribuição de energia elétrica e seus Anexos VII - A – Quantificação da qualidade dos sistemas de governança das concessionárias de distribuição de energia elétrica; VII-B – Autoavaliação do sistema de governança da concessionária de distribuição de energia elétrica; e VII-C – Nota de </w:t>
            </w:r>
            <w:proofErr w:type="spellStart"/>
            <w:r>
              <w:rPr>
                <w:sz w:val="8"/>
              </w:rPr>
              <w:t>Disclaimer</w:t>
            </w:r>
            <w:proofErr w:type="spellEnd"/>
            <w:r>
              <w:rPr>
                <w:sz w:val="8"/>
              </w:rPr>
              <w:t>.</w:t>
            </w:r>
          </w:p>
        </w:tc>
        <w:tc>
          <w:tcPr>
            <w:tcW w:w="0" w:type="auto"/>
            <w:gridSpan w:val="2"/>
            <w:vMerge/>
            <w:tcBorders>
              <w:top w:val="nil"/>
              <w:left w:val="single" w:sz="3" w:space="0" w:color="000000"/>
              <w:bottom w:val="nil"/>
              <w:right w:val="nil"/>
            </w:tcBorders>
          </w:tcPr>
          <w:p w14:paraId="480D63F8" w14:textId="77777777" w:rsidR="00541219" w:rsidRDefault="00541219">
            <w:pPr>
              <w:spacing w:after="160"/>
              <w:ind w:left="0" w:firstLine="0"/>
            </w:pPr>
          </w:p>
        </w:tc>
      </w:tr>
      <w:tr w:rsidR="00541219" w14:paraId="4113BF7C" w14:textId="77777777">
        <w:trPr>
          <w:trHeight w:val="564"/>
        </w:trPr>
        <w:tc>
          <w:tcPr>
            <w:tcW w:w="5344" w:type="dxa"/>
            <w:tcBorders>
              <w:top w:val="single" w:sz="3" w:space="0" w:color="000000"/>
              <w:left w:val="single" w:sz="3" w:space="0" w:color="000000"/>
              <w:bottom w:val="single" w:sz="3" w:space="0" w:color="000000"/>
              <w:right w:val="single" w:sz="3" w:space="0" w:color="000000"/>
            </w:tcBorders>
          </w:tcPr>
          <w:p w14:paraId="3808EFC9" w14:textId="77777777" w:rsidR="00541219" w:rsidRDefault="00000000">
            <w:pPr>
              <w:spacing w:after="0"/>
              <w:ind w:left="0" w:firstLine="0"/>
            </w:pPr>
            <w:r>
              <w:rPr>
                <w:sz w:val="8"/>
              </w:rPr>
              <w:t>164. O módulo VII da REN 948 prevê que a avaliação da qualidade dos sistemas de governança das concessionárias contemple duas dimensões. Primeiramente, a governança corporativa clássica que objetiva melhorar a gestão empresarial, a favor da transparência, equidade e responsabilidade administrativa para que possa maximizar os interesses dos acionistas e prover sustentabilidade a longo prazo. E, para equilibrar os interesses dos stakeholders, a dimensão da conformidade regulatória demonstra o nível de aderência com a regulação em vigor, bem como dá sinais regulatórios dos comportamentos do segmento de distribuição relacionados ao envio das informações ao Regulador dos serviços prestados aos consumidores.</w:t>
            </w:r>
          </w:p>
        </w:tc>
        <w:tc>
          <w:tcPr>
            <w:tcW w:w="0" w:type="auto"/>
            <w:gridSpan w:val="2"/>
            <w:vMerge/>
            <w:tcBorders>
              <w:top w:val="nil"/>
              <w:left w:val="single" w:sz="3" w:space="0" w:color="000000"/>
              <w:bottom w:val="nil"/>
              <w:right w:val="nil"/>
            </w:tcBorders>
          </w:tcPr>
          <w:p w14:paraId="49E3BE99" w14:textId="77777777" w:rsidR="00541219" w:rsidRDefault="00541219">
            <w:pPr>
              <w:spacing w:after="160"/>
              <w:ind w:left="0" w:firstLine="0"/>
            </w:pPr>
          </w:p>
        </w:tc>
      </w:tr>
      <w:tr w:rsidR="00541219" w14:paraId="0E9E5900"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2DA5D1F6" w14:textId="77777777" w:rsidR="00541219" w:rsidRDefault="00000000">
            <w:pPr>
              <w:spacing w:after="0"/>
              <w:ind w:left="0" w:firstLine="0"/>
            </w:pPr>
            <w:r>
              <w:rPr>
                <w:sz w:val="8"/>
              </w:rPr>
              <w:t>165. Entretanto, na dimensão da governança clássica, nos últimos 7 (sete) anos desde a publicação da REN 787, o conceito e os princípios que a norteiam passaram por evolução, sendo que o conceito mais atualizado trazido pelo Instituto Brasileiro de Governança Corporativa – IBGC18 no Código das Melhores Práticas de Governança Corporativa, consiste em:</w:t>
            </w:r>
          </w:p>
        </w:tc>
        <w:tc>
          <w:tcPr>
            <w:tcW w:w="0" w:type="auto"/>
            <w:gridSpan w:val="2"/>
            <w:vMerge/>
            <w:tcBorders>
              <w:top w:val="nil"/>
              <w:left w:val="single" w:sz="3" w:space="0" w:color="000000"/>
              <w:bottom w:val="nil"/>
              <w:right w:val="nil"/>
            </w:tcBorders>
          </w:tcPr>
          <w:p w14:paraId="4D74A302" w14:textId="77777777" w:rsidR="00541219" w:rsidRDefault="00541219">
            <w:pPr>
              <w:spacing w:after="160"/>
              <w:ind w:left="0" w:firstLine="0"/>
            </w:pPr>
          </w:p>
        </w:tc>
      </w:tr>
      <w:tr w:rsidR="00541219" w14:paraId="79B23B0F"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6BC8FD3C" w14:textId="77777777" w:rsidR="00541219" w:rsidRDefault="00000000">
            <w:pPr>
              <w:spacing w:after="0"/>
              <w:ind w:left="0" w:firstLine="0"/>
            </w:pPr>
            <w:r>
              <w:rPr>
                <w:sz w:val="8"/>
              </w:rPr>
              <w:t xml:space="preserve">     Governança corporativa é um sistema formado por princípios, regras, estruturas e processos pelo qual as organizações são dirigidas e monitoradas, com vistas à geração de valor sustentável para a organização, para seus sócios e para a sociedade em geral. Esse sistema baliza a atuação dos agentes de governança e demais indivíduos de uma organização na busca pelo equilíbrio entre os interesses de todas as partes, contribuindo positivamente para a sociedade e para o meio ambiente.</w:t>
            </w:r>
          </w:p>
        </w:tc>
        <w:tc>
          <w:tcPr>
            <w:tcW w:w="0" w:type="auto"/>
            <w:gridSpan w:val="2"/>
            <w:vMerge/>
            <w:tcBorders>
              <w:top w:val="nil"/>
              <w:left w:val="single" w:sz="3" w:space="0" w:color="000000"/>
              <w:bottom w:val="nil"/>
              <w:right w:val="nil"/>
            </w:tcBorders>
          </w:tcPr>
          <w:p w14:paraId="18A7D565" w14:textId="77777777" w:rsidR="00541219" w:rsidRDefault="00541219">
            <w:pPr>
              <w:spacing w:after="160"/>
              <w:ind w:left="0" w:firstLine="0"/>
            </w:pPr>
          </w:p>
        </w:tc>
      </w:tr>
      <w:tr w:rsidR="00541219" w14:paraId="19B8F1BA"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4590B791" w14:textId="77777777" w:rsidR="00541219" w:rsidRDefault="00000000">
            <w:pPr>
              <w:spacing w:after="0"/>
              <w:ind w:left="0" w:firstLine="0"/>
            </w:pPr>
            <w:r>
              <w:rPr>
                <w:sz w:val="8"/>
              </w:rPr>
              <w:t>166. Observa-se que o conceito atual, demonstrado acima, trouxe significativas mudanças em relação à 4a edição vigente em 2015, conforme o Código das Melhores Práticas de Governança Corporativa do IBGC, transcrito abaixo:</w:t>
            </w:r>
          </w:p>
        </w:tc>
        <w:tc>
          <w:tcPr>
            <w:tcW w:w="0" w:type="auto"/>
            <w:gridSpan w:val="2"/>
            <w:vMerge/>
            <w:tcBorders>
              <w:top w:val="nil"/>
              <w:left w:val="single" w:sz="3" w:space="0" w:color="000000"/>
              <w:bottom w:val="nil"/>
              <w:right w:val="nil"/>
            </w:tcBorders>
          </w:tcPr>
          <w:p w14:paraId="5BDF1F19" w14:textId="77777777" w:rsidR="00541219" w:rsidRDefault="00541219">
            <w:pPr>
              <w:spacing w:after="160"/>
              <w:ind w:left="0" w:firstLine="0"/>
            </w:pPr>
          </w:p>
        </w:tc>
      </w:tr>
      <w:tr w:rsidR="00541219" w14:paraId="55DD1237"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671E38C5" w14:textId="77777777" w:rsidR="00541219" w:rsidRDefault="00000000">
            <w:pPr>
              <w:spacing w:after="0"/>
              <w:ind w:left="0" w:firstLine="0"/>
            </w:pPr>
            <w:r>
              <w:rPr>
                <w:sz w:val="8"/>
              </w:rPr>
              <w:t xml:space="preserve">     Governança Corporativa é o sistema pelo qual as organizações são dirigidas, monitoradas e incentivadas, envolvendo os relacionamentos entre proprietários, Conselho de Administração, Diretoria e órgãos de controle. As boas práticas de Governança Corporativa convertem princípios em recomendações objetivas, alinhando interesses com a finalidade de preservar e otimizar o valor da organização, facilitando seu acesso a recursos e contribuindo para sua longevidade.</w:t>
            </w:r>
          </w:p>
        </w:tc>
        <w:tc>
          <w:tcPr>
            <w:tcW w:w="0" w:type="auto"/>
            <w:gridSpan w:val="2"/>
            <w:vMerge/>
            <w:tcBorders>
              <w:top w:val="nil"/>
              <w:left w:val="single" w:sz="3" w:space="0" w:color="000000"/>
              <w:bottom w:val="nil"/>
              <w:right w:val="nil"/>
            </w:tcBorders>
          </w:tcPr>
          <w:p w14:paraId="0D74D35B" w14:textId="77777777" w:rsidR="00541219" w:rsidRDefault="00541219">
            <w:pPr>
              <w:spacing w:after="160"/>
              <w:ind w:left="0" w:firstLine="0"/>
            </w:pPr>
          </w:p>
        </w:tc>
      </w:tr>
      <w:tr w:rsidR="00541219" w14:paraId="1BC2AF3E"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1D109EC0" w14:textId="77777777" w:rsidR="00541219" w:rsidRDefault="00000000">
            <w:pPr>
              <w:spacing w:after="0"/>
              <w:ind w:left="0" w:firstLine="0"/>
            </w:pPr>
            <w:r>
              <w:rPr>
                <w:sz w:val="8"/>
              </w:rPr>
              <w:t>167. Ademais, sobre o tema, a Organização para a Cooperação e Desenvolvimento Econômico - OCDE trouxe recentes revisões nos princípios norteadores da governança para seus países membros, transcritos abaixo:</w:t>
            </w:r>
          </w:p>
        </w:tc>
        <w:tc>
          <w:tcPr>
            <w:tcW w:w="0" w:type="auto"/>
            <w:gridSpan w:val="2"/>
            <w:vMerge/>
            <w:tcBorders>
              <w:top w:val="nil"/>
              <w:left w:val="single" w:sz="3" w:space="0" w:color="000000"/>
              <w:bottom w:val="nil"/>
              <w:right w:val="nil"/>
            </w:tcBorders>
          </w:tcPr>
          <w:p w14:paraId="21A6EC44" w14:textId="77777777" w:rsidR="00541219" w:rsidRDefault="00541219">
            <w:pPr>
              <w:spacing w:after="160"/>
              <w:ind w:left="0" w:firstLine="0"/>
            </w:pPr>
          </w:p>
        </w:tc>
      </w:tr>
      <w:tr w:rsidR="00541219" w14:paraId="32F34541"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16C99C64" w14:textId="77777777" w:rsidR="00541219" w:rsidRDefault="00000000">
            <w:pPr>
              <w:spacing w:after="0"/>
              <w:ind w:left="497" w:firstLine="0"/>
            </w:pPr>
            <w:r>
              <w:rPr>
                <w:sz w:val="8"/>
              </w:rPr>
              <w:t xml:space="preserve">     Os Princípios de Governança Corporativa do G20/OCDE são o principal padrão internacional para governança corporativa. Eles visam ajudar os formuladores de políticas e reguladores a avaliar e melhorar as estruturas legais, regulatórias e institucionais para governança corporativa, com o objetivo de apoiar a confiança e integridade do mercado, a eficiência econômica e a estabilidade financeira.</w:t>
            </w:r>
          </w:p>
        </w:tc>
        <w:tc>
          <w:tcPr>
            <w:tcW w:w="0" w:type="auto"/>
            <w:gridSpan w:val="2"/>
            <w:vMerge/>
            <w:tcBorders>
              <w:top w:val="nil"/>
              <w:left w:val="single" w:sz="3" w:space="0" w:color="000000"/>
              <w:bottom w:val="nil"/>
              <w:right w:val="nil"/>
            </w:tcBorders>
          </w:tcPr>
          <w:p w14:paraId="4F816B04" w14:textId="77777777" w:rsidR="00541219" w:rsidRDefault="00541219">
            <w:pPr>
              <w:spacing w:after="160"/>
              <w:ind w:left="0" w:firstLine="0"/>
            </w:pPr>
          </w:p>
        </w:tc>
      </w:tr>
      <w:tr w:rsidR="00541219" w14:paraId="072AEBCA" w14:textId="77777777">
        <w:trPr>
          <w:trHeight w:val="564"/>
        </w:trPr>
        <w:tc>
          <w:tcPr>
            <w:tcW w:w="5344" w:type="dxa"/>
            <w:tcBorders>
              <w:top w:val="single" w:sz="3" w:space="0" w:color="000000"/>
              <w:left w:val="single" w:sz="3" w:space="0" w:color="000000"/>
              <w:bottom w:val="single" w:sz="3" w:space="0" w:color="000000"/>
              <w:right w:val="single" w:sz="3" w:space="0" w:color="000000"/>
            </w:tcBorders>
          </w:tcPr>
          <w:p w14:paraId="39B4AF6C" w14:textId="77777777" w:rsidR="00541219" w:rsidRDefault="00000000">
            <w:pPr>
              <w:spacing w:after="0"/>
              <w:ind w:left="497" w:firstLine="0"/>
            </w:pPr>
            <w:r>
              <w:rPr>
                <w:sz w:val="8"/>
              </w:rPr>
              <w:t xml:space="preserve">     Os Princípios foram submetidos a uma revisão abrangente em 2021-2023 para atualizá-los à luz das recentes evoluções na governança corporativa e nos mercados de capitais. Os princípios revistos foram adotados pelo Conselho Ministerial da OCDE em junho de 2023 (os princípios estão consagrados na Recomendação da OCDE sobre os princípios de governo das sociedades [OCDE/LEGAL/0413]) e aprovados pelos líderes do G20 em setembro de 2023. Os Princípios também são um dos Padrões-Chave do Conselho de Estabilidade Financeira para Sistemas Financeiros Sólidos e formam a base para os Relatórios do Banco Mundial sobre a Observância de Padrões e Códigos (ROSC) na área de governança corporativa.</w:t>
            </w:r>
          </w:p>
        </w:tc>
        <w:tc>
          <w:tcPr>
            <w:tcW w:w="0" w:type="auto"/>
            <w:gridSpan w:val="2"/>
            <w:vMerge/>
            <w:tcBorders>
              <w:top w:val="nil"/>
              <w:left w:val="single" w:sz="3" w:space="0" w:color="000000"/>
              <w:bottom w:val="nil"/>
              <w:right w:val="nil"/>
            </w:tcBorders>
          </w:tcPr>
          <w:p w14:paraId="63BA8FC9" w14:textId="77777777" w:rsidR="00541219" w:rsidRDefault="00541219">
            <w:pPr>
              <w:spacing w:after="160"/>
              <w:ind w:left="0" w:firstLine="0"/>
            </w:pPr>
          </w:p>
        </w:tc>
      </w:tr>
      <w:tr w:rsidR="00541219" w14:paraId="354F66B2" w14:textId="77777777">
        <w:trPr>
          <w:trHeight w:val="470"/>
        </w:trPr>
        <w:tc>
          <w:tcPr>
            <w:tcW w:w="5344" w:type="dxa"/>
            <w:tcBorders>
              <w:top w:val="single" w:sz="3" w:space="0" w:color="000000"/>
              <w:left w:val="single" w:sz="3" w:space="0" w:color="000000"/>
              <w:bottom w:val="single" w:sz="3" w:space="0" w:color="000000"/>
              <w:right w:val="single" w:sz="3" w:space="0" w:color="000000"/>
            </w:tcBorders>
          </w:tcPr>
          <w:p w14:paraId="14A448BA" w14:textId="77777777" w:rsidR="00541219" w:rsidRDefault="00000000">
            <w:pPr>
              <w:spacing w:after="0"/>
              <w:ind w:left="497" w:firstLine="0"/>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3412CB76" wp14:editId="50143DD1">
                      <wp:simplePos x="0" y="0"/>
                      <wp:positionH relativeFrom="column">
                        <wp:posOffset>1881759</wp:posOffset>
                      </wp:positionH>
                      <wp:positionV relativeFrom="paragraph">
                        <wp:posOffset>40078</wp:posOffset>
                      </wp:positionV>
                      <wp:extent cx="694944" cy="4572"/>
                      <wp:effectExtent l="0" t="0" r="0" b="0"/>
                      <wp:wrapNone/>
                      <wp:docPr id="122955" name="Group 122955"/>
                      <wp:cNvGraphicFramePr/>
                      <a:graphic xmlns:a="http://schemas.openxmlformats.org/drawingml/2006/main">
                        <a:graphicData uri="http://schemas.microsoft.com/office/word/2010/wordprocessingGroup">
                          <wpg:wgp>
                            <wpg:cNvGrpSpPr/>
                            <wpg:grpSpPr>
                              <a:xfrm>
                                <a:off x="0" y="0"/>
                                <a:ext cx="694944" cy="4572"/>
                                <a:chOff x="0" y="0"/>
                                <a:chExt cx="694944" cy="4572"/>
                              </a:xfrm>
                            </wpg:grpSpPr>
                            <wps:wsp>
                              <wps:cNvPr id="135610" name="Shape 135610"/>
                              <wps:cNvSpPr/>
                              <wps:spPr>
                                <a:xfrm>
                                  <a:off x="0" y="0"/>
                                  <a:ext cx="694944" cy="9144"/>
                                </a:xfrm>
                                <a:custGeom>
                                  <a:avLst/>
                                  <a:gdLst/>
                                  <a:ahLst/>
                                  <a:cxnLst/>
                                  <a:rect l="0" t="0" r="0" b="0"/>
                                  <a:pathLst>
                                    <a:path w="694944" h="9144">
                                      <a:moveTo>
                                        <a:pt x="0" y="0"/>
                                      </a:moveTo>
                                      <a:lnTo>
                                        <a:pt x="694944" y="0"/>
                                      </a:lnTo>
                                      <a:lnTo>
                                        <a:pt x="6949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22955" style="width:54.72pt;height:0.359985pt;position:absolute;z-index:-2147483526;mso-position-horizontal-relative:text;mso-position-horizontal:absolute;margin-left:148.17pt;mso-position-vertical-relative:text;margin-top:3.15576pt;" coordsize="6949,45">
                      <v:shape id="Shape 135611" style="position:absolute;width:6949;height:91;left:0;top:0;" coordsize="694944,9144" path="m0,0l694944,0l694944,9144l0,9144l0,0">
                        <v:stroke weight="0pt" endcap="flat" joinstyle="miter" miterlimit="10" on="false" color="#000000" opacity="0"/>
                        <v:fill on="true" color="#000000"/>
                      </v:shape>
                    </v:group>
                  </w:pict>
                </mc:Fallback>
              </mc:AlternateContent>
            </w:r>
            <w:r>
              <w:rPr>
                <w:sz w:val="8"/>
              </w:rPr>
              <w:t xml:space="preserve">     Assim, uma grande evolução nos Princípios é o novo Capítulo sobre "Sustentabilidade e resiliência", que reflete os crescentes desafios que as empresas enfrentam na gestão de riscos e oportunidades de sustentabilidade relacionados ao clima e outros. Este novo Capítulo também incorpora o Capítulo IV sobre "O Papel das Partes Interessadas na Governança Corporativa" da versão anterior dos Princípios. Um número substancial de novas recomendações também foi desenvolvido e integrado nos capítulos existentes dos Princípios, cuja estrutura permanece inalterada. (grifo nosso)</w:t>
            </w:r>
          </w:p>
        </w:tc>
        <w:tc>
          <w:tcPr>
            <w:tcW w:w="0" w:type="auto"/>
            <w:gridSpan w:val="2"/>
            <w:vMerge/>
            <w:tcBorders>
              <w:top w:val="nil"/>
              <w:left w:val="single" w:sz="3" w:space="0" w:color="000000"/>
              <w:bottom w:val="nil"/>
              <w:right w:val="nil"/>
            </w:tcBorders>
          </w:tcPr>
          <w:p w14:paraId="7D86BEB7" w14:textId="77777777" w:rsidR="00541219" w:rsidRDefault="00541219">
            <w:pPr>
              <w:spacing w:after="160"/>
              <w:ind w:left="0" w:firstLine="0"/>
            </w:pPr>
          </w:p>
        </w:tc>
      </w:tr>
      <w:tr w:rsidR="00541219" w14:paraId="0B247A78" w14:textId="77777777">
        <w:trPr>
          <w:trHeight w:val="470"/>
        </w:trPr>
        <w:tc>
          <w:tcPr>
            <w:tcW w:w="5344" w:type="dxa"/>
            <w:tcBorders>
              <w:top w:val="single" w:sz="3" w:space="0" w:color="000000"/>
              <w:left w:val="single" w:sz="3" w:space="0" w:color="000000"/>
              <w:bottom w:val="single" w:sz="3" w:space="0" w:color="000000"/>
              <w:right w:val="single" w:sz="3" w:space="0" w:color="000000"/>
            </w:tcBorders>
          </w:tcPr>
          <w:p w14:paraId="42238A03" w14:textId="77777777" w:rsidR="00541219" w:rsidRDefault="00000000">
            <w:pPr>
              <w:spacing w:after="0"/>
              <w:ind w:left="0" w:firstLine="0"/>
            </w:pPr>
            <w:r>
              <w:rPr>
                <w:sz w:val="8"/>
              </w:rPr>
              <w:t>168. Por outro lado, na dimensão de conformidade regulatória, os componentes que são avaliados referentes às informações enviadas ao Regulador sob o aspecto da qualidade do serviço prestado, qualidade e temporalidade do envio das informações técnicas constantes na BDGD e da qualidade das informações prestadas no atendimento comercial das distribuidoras, passaram por atualizações nos sistemas informacionais da ANEEL. Cabe salientar, que os indicadores relacionados ao atendimento comercial foram submetidos à Consulta Pública com intuito de obter subsídios para avaliar ações que aumentem a satisfação do consumidor em relação à prestação do serviço de distribuição.</w:t>
            </w:r>
          </w:p>
        </w:tc>
        <w:tc>
          <w:tcPr>
            <w:tcW w:w="0" w:type="auto"/>
            <w:gridSpan w:val="2"/>
            <w:vMerge/>
            <w:tcBorders>
              <w:top w:val="nil"/>
              <w:left w:val="single" w:sz="3" w:space="0" w:color="000000"/>
              <w:bottom w:val="nil"/>
              <w:right w:val="nil"/>
            </w:tcBorders>
          </w:tcPr>
          <w:p w14:paraId="68727CA3" w14:textId="77777777" w:rsidR="00541219" w:rsidRDefault="00541219">
            <w:pPr>
              <w:spacing w:after="160"/>
              <w:ind w:left="0" w:firstLine="0"/>
            </w:pPr>
          </w:p>
        </w:tc>
      </w:tr>
      <w:tr w:rsidR="00541219" w14:paraId="521C9587"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117B0DBC" w14:textId="77777777" w:rsidR="00541219" w:rsidRDefault="00000000">
            <w:pPr>
              <w:spacing w:after="0"/>
              <w:ind w:left="0" w:firstLine="0"/>
              <w:jc w:val="both"/>
            </w:pPr>
            <w:r>
              <w:rPr>
                <w:sz w:val="8"/>
              </w:rPr>
              <w:t>169. Sendo assim, as cláusulas estabelecidas nos termos aditivos desde 2015 se manterão nos contratos que serão prorrogados, ou seja, sem alteração de mérito, tendo em vista que confere à ANEEL a elaboração da regulação, oportunidade na qual a Agência poderá aprimorar a regra atual.</w:t>
            </w:r>
          </w:p>
        </w:tc>
        <w:tc>
          <w:tcPr>
            <w:tcW w:w="0" w:type="auto"/>
            <w:gridSpan w:val="2"/>
            <w:vMerge/>
            <w:tcBorders>
              <w:top w:val="nil"/>
              <w:left w:val="single" w:sz="3" w:space="0" w:color="000000"/>
              <w:bottom w:val="nil"/>
              <w:right w:val="nil"/>
            </w:tcBorders>
          </w:tcPr>
          <w:p w14:paraId="38CAAB5B" w14:textId="77777777" w:rsidR="00541219" w:rsidRDefault="00541219">
            <w:pPr>
              <w:spacing w:after="160"/>
              <w:ind w:left="0" w:firstLine="0"/>
            </w:pPr>
          </w:p>
        </w:tc>
      </w:tr>
      <w:tr w:rsidR="00541219" w14:paraId="78C355DB"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2DA14338" w14:textId="77777777" w:rsidR="00541219" w:rsidRDefault="00000000">
            <w:pPr>
              <w:spacing w:after="0"/>
              <w:ind w:left="0" w:firstLine="0"/>
            </w:pPr>
            <w:r>
              <w:rPr>
                <w:sz w:val="8"/>
              </w:rPr>
              <w:t>170. Portanto, conforme grifo nosso, a subcláusula segunda foi reescrita para que a regulação possa trabalhar mais profundamente os conceitos atuais de governança.</w:t>
            </w:r>
          </w:p>
        </w:tc>
        <w:tc>
          <w:tcPr>
            <w:tcW w:w="0" w:type="auto"/>
            <w:gridSpan w:val="2"/>
            <w:vMerge/>
            <w:tcBorders>
              <w:top w:val="nil"/>
              <w:left w:val="single" w:sz="3" w:space="0" w:color="000000"/>
              <w:bottom w:val="nil"/>
              <w:right w:val="nil"/>
            </w:tcBorders>
          </w:tcPr>
          <w:p w14:paraId="1E9C99C1" w14:textId="77777777" w:rsidR="00541219" w:rsidRDefault="00541219">
            <w:pPr>
              <w:spacing w:after="160"/>
              <w:ind w:left="0" w:firstLine="0"/>
            </w:pPr>
          </w:p>
        </w:tc>
      </w:tr>
      <w:tr w:rsidR="00541219" w14:paraId="57E91465"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78C19D1A" w14:textId="77777777" w:rsidR="00541219" w:rsidRDefault="00000000">
            <w:pPr>
              <w:spacing w:after="0"/>
              <w:ind w:left="497" w:firstLine="0"/>
            </w:pPr>
            <w:r>
              <w:rPr>
                <w:sz w:val="8"/>
              </w:rPr>
              <w:t xml:space="preserve">     CLÁUSULA OITAVA – GOVERNANÇA CORPORATIVA E TRANSPARÊNCIA</w:t>
            </w:r>
          </w:p>
        </w:tc>
        <w:tc>
          <w:tcPr>
            <w:tcW w:w="0" w:type="auto"/>
            <w:gridSpan w:val="2"/>
            <w:vMerge/>
            <w:tcBorders>
              <w:top w:val="nil"/>
              <w:left w:val="single" w:sz="3" w:space="0" w:color="000000"/>
              <w:bottom w:val="nil"/>
              <w:right w:val="nil"/>
            </w:tcBorders>
          </w:tcPr>
          <w:p w14:paraId="36B4FA0A" w14:textId="77777777" w:rsidR="00541219" w:rsidRDefault="00541219">
            <w:pPr>
              <w:spacing w:after="160"/>
              <w:ind w:left="0" w:firstLine="0"/>
            </w:pPr>
          </w:p>
        </w:tc>
      </w:tr>
      <w:tr w:rsidR="00541219" w14:paraId="409C1E83"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23C03A77" w14:textId="77777777" w:rsidR="00541219" w:rsidRDefault="00000000">
            <w:pPr>
              <w:spacing w:after="0"/>
              <w:ind w:left="497" w:firstLine="0"/>
            </w:pPr>
            <w:r>
              <w:rPr>
                <w:sz w:val="8"/>
              </w:rPr>
              <w:t xml:space="preserve">     A DISTRIBUIDORA se compromete a empregar seus melhores esforços para manter seus níveis de governança e transparência alinhados às melhores práticas e harmônicos à sua condição de prestadora de serviço público essencial.</w:t>
            </w:r>
          </w:p>
        </w:tc>
        <w:tc>
          <w:tcPr>
            <w:tcW w:w="0" w:type="auto"/>
            <w:gridSpan w:val="2"/>
            <w:vMerge/>
            <w:tcBorders>
              <w:top w:val="nil"/>
              <w:left w:val="single" w:sz="3" w:space="0" w:color="000000"/>
              <w:bottom w:val="nil"/>
              <w:right w:val="nil"/>
            </w:tcBorders>
          </w:tcPr>
          <w:p w14:paraId="208F9D8E" w14:textId="77777777" w:rsidR="00541219" w:rsidRDefault="00541219">
            <w:pPr>
              <w:spacing w:after="160"/>
              <w:ind w:left="0" w:firstLine="0"/>
            </w:pPr>
          </w:p>
        </w:tc>
      </w:tr>
      <w:tr w:rsidR="00541219" w14:paraId="21D0677E"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404B5DD5" w14:textId="77777777" w:rsidR="00541219" w:rsidRDefault="00000000">
            <w:pPr>
              <w:spacing w:after="0"/>
              <w:ind w:left="497" w:firstLine="0"/>
            </w:pPr>
            <w:r>
              <w:rPr>
                <w:sz w:val="8"/>
              </w:rPr>
              <w:t xml:space="preserve">     Subcláusula Primeira – A DISTRIBUIDORA obriga-se a observar a regulação da ANEEL sobre governança e transparência que poderá compreender, entre outros, parâmetros mínimos e deveres regulatórios relacionados ao Conselho de Administração, à Diretoria, ao Conselho Fiscal, à Auditoria e à Conformidade.</w:t>
            </w:r>
          </w:p>
        </w:tc>
        <w:tc>
          <w:tcPr>
            <w:tcW w:w="0" w:type="auto"/>
            <w:gridSpan w:val="2"/>
            <w:vMerge/>
            <w:tcBorders>
              <w:top w:val="nil"/>
              <w:left w:val="single" w:sz="3" w:space="0" w:color="000000"/>
              <w:bottom w:val="nil"/>
              <w:right w:val="nil"/>
            </w:tcBorders>
          </w:tcPr>
          <w:p w14:paraId="265B90D8" w14:textId="77777777" w:rsidR="00541219" w:rsidRDefault="00541219">
            <w:pPr>
              <w:spacing w:after="160"/>
              <w:ind w:left="0" w:firstLine="0"/>
            </w:pPr>
          </w:p>
        </w:tc>
      </w:tr>
      <w:tr w:rsidR="00541219" w14:paraId="52496455"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531F0904" w14:textId="77777777" w:rsidR="00541219" w:rsidRDefault="00000000">
            <w:pPr>
              <w:spacing w:after="0"/>
              <w:ind w:left="497" w:right="13" w:firstLine="0"/>
            </w:pPr>
            <w:r>
              <w:rPr>
                <w:sz w:val="8"/>
              </w:rPr>
              <w:t xml:space="preserve">     Subcláusula Segunda – A DISTRIBUIDORA deve manter na ANEEL, desde a assinatura do CONTRATO, declaração de todos seus Administradores e Conselheiros Fiscais afirmando que compreendem seu papel e responsabilidades decorrentes da gestão de um serviço público essencial, aceitando responsabilidade pela qualidade e tempestividade das informações fornecidas no âmbito da sua competência e pela prestação de contas ao Poder Público, atualizando as declarações dentro de 30 (trinta) dias a contar da assinatura do Termo de </w:t>
            </w:r>
          </w:p>
        </w:tc>
        <w:tc>
          <w:tcPr>
            <w:tcW w:w="0" w:type="auto"/>
            <w:gridSpan w:val="2"/>
            <w:vMerge/>
            <w:tcBorders>
              <w:top w:val="nil"/>
              <w:left w:val="single" w:sz="3" w:space="0" w:color="000000"/>
              <w:bottom w:val="nil"/>
              <w:right w:val="nil"/>
            </w:tcBorders>
          </w:tcPr>
          <w:p w14:paraId="68A9B9CA" w14:textId="77777777" w:rsidR="00541219" w:rsidRDefault="00541219">
            <w:pPr>
              <w:spacing w:after="160"/>
              <w:ind w:left="0" w:firstLine="0"/>
            </w:pPr>
          </w:p>
        </w:tc>
      </w:tr>
      <w:tr w:rsidR="00541219" w14:paraId="177AC450"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649AE492" w14:textId="77777777" w:rsidR="00541219" w:rsidRDefault="00000000">
            <w:pPr>
              <w:spacing w:after="0"/>
              <w:ind w:left="497" w:firstLine="0"/>
            </w:pPr>
            <w:r>
              <w:rPr>
                <w:sz w:val="8"/>
              </w:rPr>
              <w:t xml:space="preserve">     Subcláusula Terceira – A DISTRIBUIDORA deverá submeter à anuência prévia da ANEEL operações, atos ou negócios jurídicos nas hipóteses, condições e procedimentos estabelecidos em regulação.</w:t>
            </w:r>
          </w:p>
        </w:tc>
        <w:tc>
          <w:tcPr>
            <w:tcW w:w="0" w:type="auto"/>
            <w:gridSpan w:val="2"/>
            <w:vMerge/>
            <w:tcBorders>
              <w:top w:val="nil"/>
              <w:left w:val="single" w:sz="3" w:space="0" w:color="000000"/>
              <w:bottom w:val="nil"/>
              <w:right w:val="nil"/>
            </w:tcBorders>
          </w:tcPr>
          <w:p w14:paraId="253FB11F" w14:textId="77777777" w:rsidR="00541219" w:rsidRDefault="00541219">
            <w:pPr>
              <w:spacing w:after="160"/>
              <w:ind w:left="0" w:firstLine="0"/>
            </w:pPr>
          </w:p>
        </w:tc>
      </w:tr>
      <w:tr w:rsidR="00541219" w14:paraId="5574F305"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5BC9E091" w14:textId="77777777" w:rsidR="00541219" w:rsidRDefault="00000000">
            <w:pPr>
              <w:spacing w:after="0"/>
              <w:ind w:left="0" w:right="49" w:firstLine="0"/>
              <w:jc w:val="both"/>
            </w:pPr>
            <w:r>
              <w:rPr>
                <w:sz w:val="8"/>
              </w:rPr>
              <w:t>71. Adicionalmente, em relação às obrigações da distribuidora, sugere-se inclusão de inciso da Subcláusula Quarta da Cláusula Oitava, com intuito de que a concessionária mantenha os arquivos comprobatórios relativos às suas operações de oferecimento de recebíveis em garantia, de modo que possam ser fiscalizados quanto à sua conformidade em relação à regulamentação da ANEEL.</w:t>
            </w:r>
          </w:p>
        </w:tc>
        <w:tc>
          <w:tcPr>
            <w:tcW w:w="0" w:type="auto"/>
            <w:gridSpan w:val="2"/>
            <w:vMerge/>
            <w:tcBorders>
              <w:top w:val="nil"/>
              <w:left w:val="single" w:sz="3" w:space="0" w:color="000000"/>
              <w:bottom w:val="nil"/>
              <w:right w:val="nil"/>
            </w:tcBorders>
          </w:tcPr>
          <w:p w14:paraId="6AB8FAA8" w14:textId="77777777" w:rsidR="00541219" w:rsidRDefault="00541219">
            <w:pPr>
              <w:spacing w:after="160"/>
              <w:ind w:left="0" w:firstLine="0"/>
            </w:pPr>
          </w:p>
        </w:tc>
      </w:tr>
      <w:tr w:rsidR="00541219" w14:paraId="5E0A383B" w14:textId="77777777">
        <w:trPr>
          <w:trHeight w:val="622"/>
        </w:trPr>
        <w:tc>
          <w:tcPr>
            <w:tcW w:w="5344" w:type="dxa"/>
            <w:tcBorders>
              <w:top w:val="single" w:sz="3" w:space="0" w:color="000000"/>
              <w:left w:val="single" w:sz="3" w:space="0" w:color="000000"/>
              <w:bottom w:val="double" w:sz="3" w:space="0" w:color="000000"/>
              <w:right w:val="single" w:sz="3" w:space="0" w:color="000000"/>
            </w:tcBorders>
          </w:tcPr>
          <w:p w14:paraId="029BE78E" w14:textId="77777777" w:rsidR="00541219" w:rsidRDefault="00000000">
            <w:pPr>
              <w:spacing w:after="0"/>
              <w:ind w:left="497" w:firstLine="0"/>
            </w:pPr>
            <w:r>
              <w:rPr>
                <w:sz w:val="8"/>
              </w:rPr>
              <w:t xml:space="preserve">     Subcláusula Quarta – A DISTRIBUIDORA obriga-se a:</w:t>
            </w:r>
          </w:p>
          <w:p w14:paraId="320ED2CE" w14:textId="77777777" w:rsidR="00541219" w:rsidRDefault="00000000">
            <w:pPr>
              <w:spacing w:after="0"/>
              <w:ind w:left="497" w:firstLine="0"/>
            </w:pPr>
            <w:r>
              <w:rPr>
                <w:sz w:val="8"/>
              </w:rPr>
              <w:t xml:space="preserve">     (...)</w:t>
            </w:r>
          </w:p>
          <w:p w14:paraId="7DBA06B8" w14:textId="77777777" w:rsidR="00541219" w:rsidRDefault="00000000">
            <w:pPr>
              <w:spacing w:after="0"/>
              <w:ind w:left="497" w:firstLine="0"/>
            </w:pPr>
            <w:r>
              <w:rPr>
                <w:sz w:val="8"/>
              </w:rPr>
              <w:t xml:space="preserve">     II – </w:t>
            </w:r>
            <w:proofErr w:type="gramStart"/>
            <w:r>
              <w:rPr>
                <w:sz w:val="8"/>
              </w:rPr>
              <w:t>manter</w:t>
            </w:r>
            <w:proofErr w:type="gramEnd"/>
            <w:r>
              <w:rPr>
                <w:sz w:val="8"/>
              </w:rPr>
              <w:t xml:space="preserve"> em arquivo separado toda a documentação comprobatória da movimentação financeira relativa à operação de oferecimento de direitos emergentes em garantia por prazo de 5 anos, para efeito de fiscalização;</w:t>
            </w:r>
          </w:p>
          <w:p w14:paraId="64A0C889" w14:textId="77777777" w:rsidR="00541219" w:rsidRDefault="00000000">
            <w:pPr>
              <w:spacing w:after="0"/>
              <w:ind w:left="497" w:firstLine="0"/>
            </w:pPr>
            <w:r>
              <w:rPr>
                <w:sz w:val="8"/>
              </w:rPr>
              <w:t xml:space="preserve">     (...)</w:t>
            </w:r>
          </w:p>
        </w:tc>
        <w:tc>
          <w:tcPr>
            <w:tcW w:w="0" w:type="auto"/>
            <w:gridSpan w:val="2"/>
            <w:vMerge/>
            <w:tcBorders>
              <w:top w:val="nil"/>
              <w:left w:val="single" w:sz="3" w:space="0" w:color="000000"/>
              <w:bottom w:val="nil"/>
              <w:right w:val="nil"/>
            </w:tcBorders>
          </w:tcPr>
          <w:p w14:paraId="073A2E2D" w14:textId="77777777" w:rsidR="00541219" w:rsidRDefault="00541219">
            <w:pPr>
              <w:spacing w:after="160"/>
              <w:ind w:left="0" w:firstLine="0"/>
            </w:pPr>
          </w:p>
        </w:tc>
      </w:tr>
      <w:tr w:rsidR="00541219" w14:paraId="541CF4C5" w14:textId="77777777">
        <w:trPr>
          <w:trHeight w:val="338"/>
        </w:trPr>
        <w:tc>
          <w:tcPr>
            <w:tcW w:w="5344" w:type="dxa"/>
            <w:tcBorders>
              <w:top w:val="double" w:sz="3" w:space="0" w:color="000000"/>
              <w:left w:val="single" w:sz="3" w:space="0" w:color="000000"/>
              <w:bottom w:val="single" w:sz="3" w:space="0" w:color="000000"/>
              <w:right w:val="single" w:sz="3" w:space="0" w:color="000000"/>
            </w:tcBorders>
          </w:tcPr>
          <w:p w14:paraId="491C1F00" w14:textId="77777777" w:rsidR="00541219" w:rsidRDefault="00000000">
            <w:pPr>
              <w:spacing w:after="0"/>
              <w:ind w:left="2" w:firstLine="0"/>
            </w:pPr>
            <w:r>
              <w:t>III.1.7 – Da alocação de riscos</w:t>
            </w:r>
          </w:p>
          <w:p w14:paraId="56DE2E99" w14:textId="77777777" w:rsidR="00541219" w:rsidRDefault="00000000">
            <w:pPr>
              <w:spacing w:after="0"/>
              <w:ind w:left="0" w:firstLine="0"/>
            </w:pPr>
            <w:r>
              <w:rPr>
                <w:sz w:val="8"/>
              </w:rPr>
              <w:t>172. Atualmente os contratos de concessão de serviços públicos de distribuição de energia elétrica não trazem uma matriz de risco estruturada, de forma explícita, em cláusula específica que elenque os riscos da concessionária e do Poder Concedente. As subcláusulas que tratam de risco estão dispersas ao longo do texto do contrato, de forma difusa, e são reproduções de artigos de leis, como os da Lei 8.987/95.</w:t>
            </w:r>
          </w:p>
        </w:tc>
        <w:tc>
          <w:tcPr>
            <w:tcW w:w="0" w:type="auto"/>
            <w:gridSpan w:val="2"/>
            <w:vMerge/>
            <w:tcBorders>
              <w:top w:val="nil"/>
              <w:left w:val="single" w:sz="3" w:space="0" w:color="000000"/>
              <w:bottom w:val="nil"/>
              <w:right w:val="nil"/>
            </w:tcBorders>
          </w:tcPr>
          <w:p w14:paraId="24AE7721" w14:textId="77777777" w:rsidR="00541219" w:rsidRDefault="00541219">
            <w:pPr>
              <w:spacing w:after="160"/>
              <w:ind w:left="0" w:firstLine="0"/>
            </w:pPr>
          </w:p>
        </w:tc>
      </w:tr>
      <w:tr w:rsidR="00541219" w14:paraId="1DF87CE0"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75E703DA" w14:textId="77777777" w:rsidR="00541219" w:rsidRDefault="00000000">
            <w:pPr>
              <w:spacing w:after="0"/>
              <w:ind w:left="0" w:firstLine="0"/>
            </w:pPr>
            <w:r>
              <w:rPr>
                <w:sz w:val="8"/>
              </w:rPr>
              <w:t>173. No entanto, o Decreto no 12.068/2020 estabelece que a minuta de contrato deve conter cláusula de alocação de riscos entre o Poder Concedente e as concessionárias, o que motiva a presente discussão e a definição de uma matriz de risco estruturada para os futuros contratos de concessão de distribuição.</w:t>
            </w:r>
          </w:p>
        </w:tc>
        <w:tc>
          <w:tcPr>
            <w:tcW w:w="0" w:type="auto"/>
            <w:gridSpan w:val="2"/>
            <w:vMerge/>
            <w:tcBorders>
              <w:top w:val="nil"/>
              <w:left w:val="single" w:sz="3" w:space="0" w:color="000000"/>
              <w:bottom w:val="nil"/>
              <w:right w:val="nil"/>
            </w:tcBorders>
          </w:tcPr>
          <w:p w14:paraId="3A8BBDAE" w14:textId="77777777" w:rsidR="00541219" w:rsidRDefault="00541219">
            <w:pPr>
              <w:spacing w:after="160"/>
              <w:ind w:left="0" w:firstLine="0"/>
            </w:pPr>
          </w:p>
        </w:tc>
      </w:tr>
      <w:tr w:rsidR="00541219" w14:paraId="15D00DBA" w14:textId="77777777">
        <w:trPr>
          <w:trHeight w:val="564"/>
        </w:trPr>
        <w:tc>
          <w:tcPr>
            <w:tcW w:w="5344" w:type="dxa"/>
            <w:tcBorders>
              <w:top w:val="single" w:sz="3" w:space="0" w:color="000000"/>
              <w:left w:val="single" w:sz="3" w:space="0" w:color="000000"/>
              <w:bottom w:val="single" w:sz="3" w:space="0" w:color="000000"/>
              <w:right w:val="single" w:sz="3" w:space="0" w:color="000000"/>
            </w:tcBorders>
          </w:tcPr>
          <w:p w14:paraId="60DB6DD9" w14:textId="77777777" w:rsidR="00541219" w:rsidRDefault="00000000">
            <w:pPr>
              <w:spacing w:after="0"/>
              <w:ind w:left="0" w:firstLine="0"/>
            </w:pPr>
            <w:r>
              <w:rPr>
                <w:sz w:val="8"/>
              </w:rPr>
              <w:t>174. Risco é uma variação imprevisível no valor da concessão decorrente de um fator de risco, e sua alocação significa decidir qual dos paritários do contrato vai arcar com o custo (ou colher o benefício) de uma mudança nos resultados da concessão devido a um fator de risco19. É um ponto central e decisivo na relação custo-benefício de uma concessão para a sociedade (OECD, 2008)20. Uma alocação de riscos bem estabelecida incentiva a boa gestão do contrato pela concessionária e evita aumento de custos econômicos à sociedade relativos ao contrato. Quando está sob sua gestão (e alocado contratualmente a ela), o risco leva a concessionária a ser mais eficiente, ao tentar gerenciar e influenciar fatores que fazem o resultado real ser diferente do esperado.</w:t>
            </w:r>
          </w:p>
        </w:tc>
        <w:tc>
          <w:tcPr>
            <w:tcW w:w="0" w:type="auto"/>
            <w:gridSpan w:val="2"/>
            <w:vMerge/>
            <w:tcBorders>
              <w:top w:val="nil"/>
              <w:left w:val="single" w:sz="3" w:space="0" w:color="000000"/>
              <w:bottom w:val="nil"/>
              <w:right w:val="nil"/>
            </w:tcBorders>
          </w:tcPr>
          <w:p w14:paraId="5D11FAD1" w14:textId="77777777" w:rsidR="00541219" w:rsidRDefault="00541219">
            <w:pPr>
              <w:spacing w:after="160"/>
              <w:ind w:left="0" w:firstLine="0"/>
            </w:pPr>
          </w:p>
        </w:tc>
      </w:tr>
      <w:tr w:rsidR="00541219" w14:paraId="58890B9E"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69AB5E54" w14:textId="77777777" w:rsidR="00541219" w:rsidRDefault="00000000">
            <w:pPr>
              <w:spacing w:after="0"/>
              <w:ind w:left="0" w:firstLine="0"/>
            </w:pPr>
            <w:r>
              <w:rPr>
                <w:sz w:val="8"/>
              </w:rPr>
              <w:t>175. Para aumentar o valor total da concessão para a sociedade, cada risco deve ser alocado ao paritário que:</w:t>
            </w:r>
          </w:p>
        </w:tc>
        <w:tc>
          <w:tcPr>
            <w:tcW w:w="0" w:type="auto"/>
            <w:gridSpan w:val="2"/>
            <w:vMerge/>
            <w:tcBorders>
              <w:top w:val="nil"/>
              <w:left w:val="single" w:sz="3" w:space="0" w:color="000000"/>
              <w:bottom w:val="nil"/>
              <w:right w:val="nil"/>
            </w:tcBorders>
          </w:tcPr>
          <w:p w14:paraId="6E4E9A79" w14:textId="77777777" w:rsidR="00541219" w:rsidRDefault="00541219">
            <w:pPr>
              <w:spacing w:after="160"/>
              <w:ind w:left="0" w:firstLine="0"/>
            </w:pPr>
          </w:p>
        </w:tc>
      </w:tr>
      <w:tr w:rsidR="00541219" w14:paraId="28B05B2E"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1C8F8963" w14:textId="77777777" w:rsidR="00541219" w:rsidRDefault="00000000">
            <w:pPr>
              <w:spacing w:after="0"/>
              <w:ind w:left="497" w:firstLine="0"/>
            </w:pPr>
            <w:r>
              <w:rPr>
                <w:sz w:val="8"/>
              </w:rPr>
              <w:t xml:space="preserve">     • Melhor influencia o risco: se uma parte pode influenciar o risco e é responsabilizada por ele, ela obtém benefício por melhorar o resultado do fator de risco, e paga o custo de fazê-lo. Por exemplo, os custos de construção do projeto geralmente são alocados à parte privada pois ela pode influenciar o custo da construção pela escolha de materiais e técnicas. Assim, o valor total do projeto tende a ser mais alto se a parte privada for responsável pelo risco de construção;</w:t>
            </w:r>
          </w:p>
        </w:tc>
        <w:tc>
          <w:tcPr>
            <w:tcW w:w="0" w:type="auto"/>
            <w:gridSpan w:val="2"/>
            <w:vMerge/>
            <w:tcBorders>
              <w:top w:val="nil"/>
              <w:left w:val="single" w:sz="3" w:space="0" w:color="000000"/>
              <w:bottom w:val="nil"/>
              <w:right w:val="nil"/>
            </w:tcBorders>
          </w:tcPr>
          <w:p w14:paraId="49965E66" w14:textId="77777777" w:rsidR="00541219" w:rsidRDefault="00541219">
            <w:pPr>
              <w:spacing w:after="160"/>
              <w:ind w:left="0" w:firstLine="0"/>
            </w:pPr>
          </w:p>
        </w:tc>
      </w:tr>
      <w:tr w:rsidR="00541219" w14:paraId="500D018C"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10A6AB50" w14:textId="77777777" w:rsidR="00541219" w:rsidRDefault="00000000">
            <w:pPr>
              <w:spacing w:after="0"/>
              <w:ind w:left="497" w:firstLine="0"/>
            </w:pPr>
            <w:r>
              <w:rPr>
                <w:sz w:val="8"/>
              </w:rPr>
              <w:t xml:space="preserve">     • Melhor se antecipa e responde ao risco: por exemplo, nenhuma das partes pode controlar o risco de terremotos, mas se a parte privada for responsável pela concepção do projeto, ela pode usar técnicas para reduzir o dano do terremoto;</w:t>
            </w:r>
          </w:p>
        </w:tc>
        <w:tc>
          <w:tcPr>
            <w:tcW w:w="0" w:type="auto"/>
            <w:gridSpan w:val="2"/>
            <w:vMerge/>
            <w:tcBorders>
              <w:top w:val="nil"/>
              <w:left w:val="single" w:sz="3" w:space="0" w:color="000000"/>
              <w:bottom w:val="nil"/>
              <w:right w:val="nil"/>
            </w:tcBorders>
          </w:tcPr>
          <w:p w14:paraId="6506C6FF" w14:textId="77777777" w:rsidR="00541219" w:rsidRDefault="00541219">
            <w:pPr>
              <w:spacing w:after="160"/>
              <w:ind w:left="0" w:firstLine="0"/>
            </w:pPr>
          </w:p>
        </w:tc>
      </w:tr>
    </w:tbl>
    <w:p w14:paraId="1E013AB1" w14:textId="77777777" w:rsidR="00541219" w:rsidRDefault="00541219">
      <w:pPr>
        <w:spacing w:after="0"/>
        <w:ind w:left="-1440" w:right="8609" w:firstLine="0"/>
      </w:pPr>
    </w:p>
    <w:tbl>
      <w:tblPr>
        <w:tblStyle w:val="TableGrid"/>
        <w:tblW w:w="10264" w:type="dxa"/>
        <w:tblInd w:w="-688" w:type="dxa"/>
        <w:tblCellMar>
          <w:top w:w="0" w:type="dxa"/>
          <w:left w:w="19" w:type="dxa"/>
          <w:bottom w:w="0" w:type="dxa"/>
          <w:right w:w="17" w:type="dxa"/>
        </w:tblCellMar>
        <w:tblLook w:val="04A0" w:firstRow="1" w:lastRow="0" w:firstColumn="1" w:lastColumn="0" w:noHBand="0" w:noVBand="1"/>
      </w:tblPr>
      <w:tblGrid>
        <w:gridCol w:w="5344"/>
        <w:gridCol w:w="1229"/>
        <w:gridCol w:w="3691"/>
      </w:tblGrid>
      <w:tr w:rsidR="00541219" w14:paraId="0B045C4D" w14:textId="77777777">
        <w:trPr>
          <w:trHeight w:val="150"/>
        </w:trPr>
        <w:tc>
          <w:tcPr>
            <w:tcW w:w="10264" w:type="dxa"/>
            <w:gridSpan w:val="3"/>
            <w:tcBorders>
              <w:top w:val="single" w:sz="6" w:space="0" w:color="000000"/>
              <w:left w:val="single" w:sz="6" w:space="0" w:color="000000"/>
              <w:bottom w:val="single" w:sz="3" w:space="0" w:color="000000"/>
              <w:right w:val="single" w:sz="6" w:space="0" w:color="000000"/>
            </w:tcBorders>
          </w:tcPr>
          <w:p w14:paraId="3035622E" w14:textId="77777777" w:rsidR="00541219" w:rsidRDefault="00000000">
            <w:pPr>
              <w:spacing w:after="0"/>
              <w:ind w:left="13" w:firstLine="0"/>
              <w:jc w:val="center"/>
            </w:pPr>
            <w:r>
              <w:rPr>
                <w:color w:val="0000FF"/>
                <w:sz w:val="12"/>
              </w:rPr>
              <w:t>CONTRIBUIÇÃO REFERENTE À CONSULTA PÚBLICA Nº 27/2024</w:t>
            </w:r>
          </w:p>
        </w:tc>
      </w:tr>
      <w:tr w:rsidR="00541219" w14:paraId="0D91DB1E" w14:textId="77777777">
        <w:trPr>
          <w:trHeight w:val="149"/>
        </w:trPr>
        <w:tc>
          <w:tcPr>
            <w:tcW w:w="10264" w:type="dxa"/>
            <w:gridSpan w:val="3"/>
            <w:tcBorders>
              <w:top w:val="single" w:sz="3" w:space="0" w:color="000000"/>
              <w:left w:val="single" w:sz="6" w:space="0" w:color="000000"/>
              <w:bottom w:val="single" w:sz="3" w:space="0" w:color="000000"/>
              <w:right w:val="single" w:sz="6" w:space="0" w:color="000000"/>
            </w:tcBorders>
          </w:tcPr>
          <w:p w14:paraId="4155A46E" w14:textId="77777777" w:rsidR="00541219" w:rsidRDefault="00000000">
            <w:pPr>
              <w:spacing w:after="0"/>
              <w:ind w:left="1" w:firstLine="0"/>
              <w:jc w:val="center"/>
            </w:pPr>
            <w:r>
              <w:rPr>
                <w:color w:val="0000FF"/>
                <w:sz w:val="12"/>
              </w:rPr>
              <w:t>NOME DA INSTITUIÇÃO: CONCEN Conselho de Consumidores da Energisa Mato Grosso do Sul</w:t>
            </w:r>
          </w:p>
        </w:tc>
      </w:tr>
      <w:tr w:rsidR="00541219" w14:paraId="3A0B6543" w14:textId="77777777">
        <w:trPr>
          <w:trHeight w:val="149"/>
        </w:trPr>
        <w:tc>
          <w:tcPr>
            <w:tcW w:w="10264" w:type="dxa"/>
            <w:gridSpan w:val="3"/>
            <w:tcBorders>
              <w:top w:val="single" w:sz="3" w:space="0" w:color="000000"/>
              <w:left w:val="single" w:sz="6" w:space="0" w:color="000000"/>
              <w:bottom w:val="single" w:sz="3" w:space="0" w:color="000000"/>
              <w:right w:val="single" w:sz="6" w:space="0" w:color="000000"/>
            </w:tcBorders>
          </w:tcPr>
          <w:p w14:paraId="2F8FC87E" w14:textId="77777777" w:rsidR="00541219" w:rsidRDefault="00000000">
            <w:pPr>
              <w:tabs>
                <w:tab w:val="center" w:pos="626"/>
                <w:tab w:val="center" w:pos="5122"/>
              </w:tabs>
              <w:spacing w:after="0"/>
              <w:ind w:left="0" w:firstLine="0"/>
            </w:pPr>
            <w:r>
              <w:rPr>
                <w:rFonts w:ascii="Calibri" w:eastAsia="Calibri" w:hAnsi="Calibri" w:cs="Calibri"/>
                <w:sz w:val="22"/>
              </w:rPr>
              <w:tab/>
            </w:r>
            <w:r>
              <w:rPr>
                <w:noProof/>
              </w:rPr>
              <w:drawing>
                <wp:inline distT="0" distB="0" distL="0" distR="0" wp14:anchorId="33944D7F" wp14:editId="5B6DE16B">
                  <wp:extent cx="585216" cy="362712"/>
                  <wp:effectExtent l="0" t="0" r="0" b="0"/>
                  <wp:docPr id="2825" name="Picture 2825"/>
                  <wp:cNvGraphicFramePr/>
                  <a:graphic xmlns:a="http://schemas.openxmlformats.org/drawingml/2006/main">
                    <a:graphicData uri="http://schemas.openxmlformats.org/drawingml/2006/picture">
                      <pic:pic xmlns:pic="http://schemas.openxmlformats.org/drawingml/2006/picture">
                        <pic:nvPicPr>
                          <pic:cNvPr id="2825" name="Picture 2825"/>
                          <pic:cNvPicPr/>
                        </pic:nvPicPr>
                        <pic:blipFill>
                          <a:blip r:embed="rId5"/>
                          <a:stretch>
                            <a:fillRect/>
                          </a:stretch>
                        </pic:blipFill>
                        <pic:spPr>
                          <a:xfrm>
                            <a:off x="0" y="0"/>
                            <a:ext cx="585216" cy="362712"/>
                          </a:xfrm>
                          <a:prstGeom prst="rect">
                            <a:avLst/>
                          </a:prstGeom>
                        </pic:spPr>
                      </pic:pic>
                    </a:graphicData>
                  </a:graphic>
                </wp:inline>
              </w:drawing>
            </w:r>
            <w:r>
              <w:rPr>
                <w:color w:val="0000FF"/>
                <w:sz w:val="12"/>
              </w:rPr>
              <w:tab/>
              <w:t>AGÊNCIA NACIONAL DE ENERGIA ELÉTRICA – ANEEL</w:t>
            </w:r>
          </w:p>
        </w:tc>
      </w:tr>
      <w:tr w:rsidR="00541219" w14:paraId="2E80C5BD" w14:textId="77777777">
        <w:trPr>
          <w:trHeight w:val="178"/>
        </w:trPr>
        <w:tc>
          <w:tcPr>
            <w:tcW w:w="10264" w:type="dxa"/>
            <w:gridSpan w:val="3"/>
            <w:tcBorders>
              <w:top w:val="single" w:sz="3" w:space="0" w:color="000000"/>
              <w:left w:val="single" w:sz="6" w:space="0" w:color="000000"/>
              <w:bottom w:val="single" w:sz="3" w:space="0" w:color="000000"/>
              <w:right w:val="single" w:sz="6" w:space="0" w:color="000000"/>
            </w:tcBorders>
          </w:tcPr>
          <w:p w14:paraId="62388CDC" w14:textId="77777777" w:rsidR="00541219" w:rsidRDefault="00000000">
            <w:pPr>
              <w:spacing w:after="0"/>
              <w:ind w:left="11" w:firstLine="0"/>
              <w:jc w:val="center"/>
            </w:pPr>
            <w:r>
              <w:rPr>
                <w:color w:val="0000FF"/>
              </w:rPr>
              <w:t>NOTA TÉCNICA nº 1.056/2024-SCE-SFF-SFT-SMA-STE-STD-STR/ANEEL de 09 de outubro de 2024.</w:t>
            </w:r>
          </w:p>
        </w:tc>
      </w:tr>
      <w:tr w:rsidR="00541219" w14:paraId="24A74EFE" w14:textId="77777777">
        <w:trPr>
          <w:trHeight w:val="194"/>
        </w:trPr>
        <w:tc>
          <w:tcPr>
            <w:tcW w:w="10264" w:type="dxa"/>
            <w:gridSpan w:val="3"/>
            <w:tcBorders>
              <w:top w:val="single" w:sz="3" w:space="0" w:color="000000"/>
              <w:left w:val="single" w:sz="6" w:space="0" w:color="000000"/>
              <w:bottom w:val="single" w:sz="3" w:space="0" w:color="000000"/>
              <w:right w:val="single" w:sz="6" w:space="0" w:color="000000"/>
            </w:tcBorders>
          </w:tcPr>
          <w:p w14:paraId="1D2EBA21" w14:textId="77777777" w:rsidR="00541219" w:rsidRDefault="00000000">
            <w:pPr>
              <w:spacing w:after="0"/>
              <w:ind w:left="0" w:right="1" w:firstLine="0"/>
              <w:jc w:val="center"/>
            </w:pPr>
            <w:r>
              <w:rPr>
                <w:color w:val="0000FF"/>
              </w:rPr>
              <w:lastRenderedPageBreak/>
              <w:t xml:space="preserve">                                                               EMENTA: Obter subsídios para o aprimoramento da minuta de termo aditivo ao contrato de concessão de distribuição de energia elétrica com vistas à prorrogação das concessões.</w:t>
            </w:r>
          </w:p>
        </w:tc>
      </w:tr>
      <w:tr w:rsidR="00541219" w14:paraId="0838D5FB" w14:textId="77777777">
        <w:trPr>
          <w:trHeight w:val="132"/>
        </w:trPr>
        <w:tc>
          <w:tcPr>
            <w:tcW w:w="10264" w:type="dxa"/>
            <w:gridSpan w:val="3"/>
            <w:tcBorders>
              <w:top w:val="single" w:sz="3" w:space="0" w:color="000000"/>
              <w:left w:val="single" w:sz="6" w:space="0" w:color="000000"/>
              <w:bottom w:val="single" w:sz="3" w:space="0" w:color="000000"/>
              <w:right w:val="single" w:sz="6" w:space="0" w:color="000000"/>
            </w:tcBorders>
          </w:tcPr>
          <w:p w14:paraId="418E394B" w14:textId="77777777" w:rsidR="00541219" w:rsidRDefault="00000000">
            <w:pPr>
              <w:spacing w:after="0"/>
              <w:ind w:left="0" w:right="2" w:firstLine="0"/>
              <w:jc w:val="center"/>
            </w:pPr>
            <w:r>
              <w:rPr>
                <w:color w:val="0000FF"/>
                <w:sz w:val="11"/>
              </w:rPr>
              <w:t>CONTRIBUIÇÕES RECEBIDAS</w:t>
            </w:r>
          </w:p>
        </w:tc>
      </w:tr>
      <w:tr w:rsidR="00541219" w14:paraId="47D1A1B7" w14:textId="77777777">
        <w:trPr>
          <w:trHeight w:val="275"/>
        </w:trPr>
        <w:tc>
          <w:tcPr>
            <w:tcW w:w="10264" w:type="dxa"/>
            <w:gridSpan w:val="3"/>
            <w:tcBorders>
              <w:top w:val="single" w:sz="3" w:space="0" w:color="000000"/>
              <w:left w:val="single" w:sz="6" w:space="0" w:color="000000"/>
              <w:bottom w:val="single" w:sz="6" w:space="0" w:color="000000"/>
              <w:right w:val="single" w:sz="6" w:space="0" w:color="000000"/>
            </w:tcBorders>
          </w:tcPr>
          <w:p w14:paraId="0775A899" w14:textId="77777777" w:rsidR="00541219" w:rsidRDefault="00000000">
            <w:pPr>
              <w:spacing w:after="0"/>
              <w:ind w:left="0" w:firstLine="0"/>
            </w:pPr>
            <w:r>
              <w:t>IMPORTANTE: Os comentários e sugestões referentes às contribuições deverão ser fundamentados e justificados, mencionando-se os artigos, parágrafos e incisos a que se referem, devendo ser acompanhados de textos alternativos e substitutivos quando envolverem sugestões de inclusão ou alteração, parcial ou total, de qualquer dispositivo.</w:t>
            </w:r>
          </w:p>
        </w:tc>
      </w:tr>
      <w:tr w:rsidR="00541219" w14:paraId="2551EAC9" w14:textId="77777777">
        <w:trPr>
          <w:trHeight w:val="213"/>
        </w:trPr>
        <w:tc>
          <w:tcPr>
            <w:tcW w:w="5344" w:type="dxa"/>
            <w:tcBorders>
              <w:top w:val="single" w:sz="6" w:space="0" w:color="000000"/>
              <w:left w:val="single" w:sz="6" w:space="0" w:color="000000"/>
              <w:bottom w:val="double" w:sz="4" w:space="0" w:color="000000"/>
              <w:right w:val="single" w:sz="6" w:space="0" w:color="000000"/>
            </w:tcBorders>
            <w:shd w:val="clear" w:color="auto" w:fill="FF0000"/>
          </w:tcPr>
          <w:p w14:paraId="5035C2CB" w14:textId="77777777" w:rsidR="00541219" w:rsidRDefault="00000000">
            <w:pPr>
              <w:spacing w:after="0"/>
              <w:ind w:left="0" w:firstLine="0"/>
              <w:jc w:val="center"/>
            </w:pPr>
            <w:r>
              <w:rPr>
                <w:color w:val="FFFFFF"/>
                <w:sz w:val="11"/>
              </w:rPr>
              <w:t xml:space="preserve">TEXTO/ANEEL </w:t>
            </w:r>
          </w:p>
        </w:tc>
        <w:tc>
          <w:tcPr>
            <w:tcW w:w="1229" w:type="dxa"/>
            <w:tcBorders>
              <w:top w:val="single" w:sz="6" w:space="0" w:color="000000"/>
              <w:left w:val="single" w:sz="6" w:space="0" w:color="000000"/>
              <w:bottom w:val="single" w:sz="6" w:space="0" w:color="000000"/>
              <w:right w:val="single" w:sz="6" w:space="0" w:color="000000"/>
            </w:tcBorders>
            <w:shd w:val="clear" w:color="auto" w:fill="FF0000"/>
          </w:tcPr>
          <w:p w14:paraId="397ED35E" w14:textId="77777777" w:rsidR="00541219" w:rsidRDefault="00000000">
            <w:pPr>
              <w:spacing w:after="0"/>
              <w:ind w:left="70" w:firstLine="0"/>
            </w:pPr>
            <w:r>
              <w:rPr>
                <w:color w:val="FFFFFF"/>
                <w:sz w:val="11"/>
              </w:rPr>
              <w:t>TEXTO/INSTITUIÇÃO</w:t>
            </w:r>
          </w:p>
        </w:tc>
        <w:tc>
          <w:tcPr>
            <w:tcW w:w="3691" w:type="dxa"/>
            <w:tcBorders>
              <w:top w:val="single" w:sz="6" w:space="0" w:color="000000"/>
              <w:left w:val="single" w:sz="6" w:space="0" w:color="000000"/>
              <w:bottom w:val="single" w:sz="6" w:space="0" w:color="000000"/>
              <w:right w:val="single" w:sz="6" w:space="0" w:color="000000"/>
            </w:tcBorders>
            <w:shd w:val="clear" w:color="auto" w:fill="FF0000"/>
          </w:tcPr>
          <w:p w14:paraId="517F8D05" w14:textId="77777777" w:rsidR="00541219" w:rsidRDefault="00000000">
            <w:pPr>
              <w:spacing w:after="0"/>
              <w:ind w:left="18" w:firstLine="0"/>
              <w:jc w:val="center"/>
            </w:pPr>
            <w:r>
              <w:rPr>
                <w:color w:val="FFFFFF"/>
                <w:sz w:val="11"/>
              </w:rPr>
              <w:t>JUSTIFICATIVA/INSTITUIÇÃO</w:t>
            </w:r>
          </w:p>
        </w:tc>
      </w:tr>
      <w:tr w:rsidR="00541219" w14:paraId="4331C6AC" w14:textId="77777777">
        <w:trPr>
          <w:trHeight w:val="388"/>
        </w:trPr>
        <w:tc>
          <w:tcPr>
            <w:tcW w:w="5344" w:type="dxa"/>
            <w:tcBorders>
              <w:top w:val="double" w:sz="4" w:space="0" w:color="000000"/>
              <w:left w:val="single" w:sz="3" w:space="0" w:color="000000"/>
              <w:bottom w:val="single" w:sz="3" w:space="0" w:color="000000"/>
              <w:right w:val="single" w:sz="3" w:space="0" w:color="000000"/>
            </w:tcBorders>
          </w:tcPr>
          <w:p w14:paraId="52A8DF0F" w14:textId="77777777" w:rsidR="00541219" w:rsidRDefault="00000000">
            <w:pPr>
              <w:spacing w:after="0" w:line="252" w:lineRule="auto"/>
              <w:ind w:left="497" w:right="18" w:firstLine="0"/>
            </w:pPr>
            <w:r>
              <w:rPr>
                <w:sz w:val="8"/>
              </w:rPr>
              <w:t xml:space="preserve">     • Melhor absorve o risco: a menor custo, caso não seja possível controlar a probabilidade ou impacto do risco. O custo de absorção de risco por um paritário depende da sensibilidade do valor do projeto em relação ao risco, à sua capacidade de repassar o risco a outros </w:t>
            </w:r>
          </w:p>
          <w:p w14:paraId="33822B93" w14:textId="77777777" w:rsidR="00541219" w:rsidRDefault="00000000">
            <w:pPr>
              <w:spacing w:after="0"/>
              <w:ind w:left="497" w:firstLine="0"/>
            </w:pPr>
            <w:r>
              <w:rPr>
                <w:sz w:val="8"/>
              </w:rPr>
              <w:t>(seguros ou derivativos, por exemplo), à sua capacidade de distribuir o risco a outros tomadores de risco finais (governos e empresas não são quem suportam o risco, ao final das contas, e sim contribuintes e credores) e à sua aversão ao risco.</w:t>
            </w:r>
          </w:p>
        </w:tc>
        <w:tc>
          <w:tcPr>
            <w:tcW w:w="4920" w:type="dxa"/>
            <w:gridSpan w:val="2"/>
            <w:vMerge w:val="restart"/>
            <w:tcBorders>
              <w:top w:val="single" w:sz="6" w:space="0" w:color="000000"/>
              <w:left w:val="single" w:sz="3" w:space="0" w:color="000000"/>
              <w:bottom w:val="nil"/>
              <w:right w:val="nil"/>
            </w:tcBorders>
          </w:tcPr>
          <w:p w14:paraId="23CE7A2D" w14:textId="77777777" w:rsidR="00541219" w:rsidRDefault="00541219">
            <w:pPr>
              <w:spacing w:after="160"/>
              <w:ind w:left="0" w:firstLine="0"/>
            </w:pPr>
          </w:p>
        </w:tc>
      </w:tr>
      <w:tr w:rsidR="00541219" w14:paraId="09DAE189" w14:textId="77777777">
        <w:trPr>
          <w:trHeight w:val="658"/>
        </w:trPr>
        <w:tc>
          <w:tcPr>
            <w:tcW w:w="5344" w:type="dxa"/>
            <w:tcBorders>
              <w:top w:val="single" w:sz="3" w:space="0" w:color="000000"/>
              <w:left w:val="single" w:sz="3" w:space="0" w:color="000000"/>
              <w:bottom w:val="single" w:sz="3" w:space="0" w:color="000000"/>
              <w:right w:val="single" w:sz="3" w:space="0" w:color="000000"/>
            </w:tcBorders>
          </w:tcPr>
          <w:p w14:paraId="679F8268" w14:textId="77777777" w:rsidR="00541219" w:rsidRDefault="00000000">
            <w:pPr>
              <w:spacing w:after="0" w:line="252" w:lineRule="auto"/>
              <w:ind w:left="0" w:firstLine="0"/>
              <w:jc w:val="both"/>
            </w:pPr>
            <w:r>
              <w:rPr>
                <w:sz w:val="8"/>
              </w:rPr>
              <w:t xml:space="preserve">176. Os problemas decorrentes de uma alocação de risco mal estabelecida aumentam os custos totais da concessão à sociedade e podem levar a reiteradas renegociações do contrato, o que não é desejável, visto que esse ato ocorreria em ambiente sem competição (ou condições para renovação de concessão) e, </w:t>
            </w:r>
          </w:p>
          <w:p w14:paraId="6D5ACC62" w14:textId="77777777" w:rsidR="00541219" w:rsidRDefault="00000000">
            <w:pPr>
              <w:spacing w:after="0"/>
              <w:ind w:left="0" w:firstLine="0"/>
            </w:pPr>
            <w:r>
              <w:rPr>
                <w:sz w:val="8"/>
              </w:rPr>
              <w:t xml:space="preserve">portanto, com distorções na precificação do risco. Uma matriz de risco inexistente ou deficiente refletirá, por exemplo, tanto na precificação pela </w:t>
            </w:r>
          </w:p>
          <w:p w14:paraId="4F5FCE6D" w14:textId="77777777" w:rsidR="00541219" w:rsidRDefault="00000000">
            <w:pPr>
              <w:spacing w:after="0"/>
              <w:ind w:left="0" w:firstLine="0"/>
            </w:pPr>
            <w:r>
              <w:rPr>
                <w:sz w:val="8"/>
              </w:rPr>
              <w:t>concessionária quando da licitação (ou da renovação da concessão), quanto no risco de crédito: a percepção do mercado a respeito dessa alocação de risco pode ser viesada para um lado. Ainda como exemplo, essa falta de precisão na alocação de risco pode levar a problemas de seleção adversa, onde a concessionária com comportamento inadequado intenta passar ao financiador que certo risco não é de sua responsabilidade, quando o Poder Concedente considera que é.</w:t>
            </w:r>
          </w:p>
        </w:tc>
        <w:tc>
          <w:tcPr>
            <w:tcW w:w="0" w:type="auto"/>
            <w:gridSpan w:val="2"/>
            <w:vMerge/>
            <w:tcBorders>
              <w:top w:val="nil"/>
              <w:left w:val="single" w:sz="3" w:space="0" w:color="000000"/>
              <w:bottom w:val="nil"/>
              <w:right w:val="nil"/>
            </w:tcBorders>
          </w:tcPr>
          <w:p w14:paraId="297F0B22" w14:textId="77777777" w:rsidR="00541219" w:rsidRDefault="00541219">
            <w:pPr>
              <w:spacing w:after="160"/>
              <w:ind w:left="0" w:firstLine="0"/>
            </w:pPr>
          </w:p>
        </w:tc>
      </w:tr>
      <w:tr w:rsidR="00541219" w14:paraId="79F7BF2D"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2D0AF181" w14:textId="77777777" w:rsidR="00541219" w:rsidRDefault="00000000">
            <w:pPr>
              <w:spacing w:after="0"/>
              <w:ind w:left="0" w:firstLine="0"/>
            </w:pPr>
            <w:r>
              <w:rPr>
                <w:sz w:val="8"/>
              </w:rPr>
              <w:t>177. Entretanto, alocar os riscos à parte mais capaz de gerenciá-los nem sempre significa transferir o máximo de riscos à concessionária. A figura abaixo apresenta um ponto ótimo de alocação de risco entre Poder Concedente e Concessionária:</w:t>
            </w:r>
          </w:p>
        </w:tc>
        <w:tc>
          <w:tcPr>
            <w:tcW w:w="0" w:type="auto"/>
            <w:gridSpan w:val="2"/>
            <w:vMerge/>
            <w:tcBorders>
              <w:top w:val="nil"/>
              <w:left w:val="single" w:sz="3" w:space="0" w:color="000000"/>
              <w:bottom w:val="nil"/>
              <w:right w:val="nil"/>
            </w:tcBorders>
          </w:tcPr>
          <w:p w14:paraId="17DFA633" w14:textId="77777777" w:rsidR="00541219" w:rsidRDefault="00541219">
            <w:pPr>
              <w:spacing w:after="160"/>
              <w:ind w:left="0" w:firstLine="0"/>
            </w:pPr>
          </w:p>
        </w:tc>
      </w:tr>
      <w:tr w:rsidR="00541219" w14:paraId="64B6457D" w14:textId="77777777">
        <w:trPr>
          <w:trHeight w:val="1956"/>
        </w:trPr>
        <w:tc>
          <w:tcPr>
            <w:tcW w:w="5344" w:type="dxa"/>
            <w:tcBorders>
              <w:top w:val="single" w:sz="3" w:space="0" w:color="000000"/>
              <w:left w:val="single" w:sz="3" w:space="0" w:color="000000"/>
              <w:bottom w:val="single" w:sz="3" w:space="0" w:color="000000"/>
              <w:right w:val="single" w:sz="3" w:space="0" w:color="000000"/>
            </w:tcBorders>
          </w:tcPr>
          <w:p w14:paraId="306E1A95" w14:textId="77777777" w:rsidR="00541219" w:rsidRDefault="00000000">
            <w:pPr>
              <w:spacing w:after="0"/>
              <w:ind w:left="386" w:firstLine="0"/>
            </w:pPr>
            <w:r>
              <w:rPr>
                <w:noProof/>
              </w:rPr>
              <w:drawing>
                <wp:inline distT="0" distB="0" distL="0" distR="0" wp14:anchorId="216DAF5F" wp14:editId="07ED9FC3">
                  <wp:extent cx="1484376" cy="1150620"/>
                  <wp:effectExtent l="0" t="0" r="0" b="0"/>
                  <wp:docPr id="2979" name="Picture 2979"/>
                  <wp:cNvGraphicFramePr/>
                  <a:graphic xmlns:a="http://schemas.openxmlformats.org/drawingml/2006/main">
                    <a:graphicData uri="http://schemas.openxmlformats.org/drawingml/2006/picture">
                      <pic:pic xmlns:pic="http://schemas.openxmlformats.org/drawingml/2006/picture">
                        <pic:nvPicPr>
                          <pic:cNvPr id="2979" name="Picture 2979"/>
                          <pic:cNvPicPr/>
                        </pic:nvPicPr>
                        <pic:blipFill>
                          <a:blip r:embed="rId9"/>
                          <a:stretch>
                            <a:fillRect/>
                          </a:stretch>
                        </pic:blipFill>
                        <pic:spPr>
                          <a:xfrm>
                            <a:off x="0" y="0"/>
                            <a:ext cx="1484376" cy="1150620"/>
                          </a:xfrm>
                          <a:prstGeom prst="rect">
                            <a:avLst/>
                          </a:prstGeom>
                        </pic:spPr>
                      </pic:pic>
                    </a:graphicData>
                  </a:graphic>
                </wp:inline>
              </w:drawing>
            </w:r>
          </w:p>
        </w:tc>
        <w:tc>
          <w:tcPr>
            <w:tcW w:w="0" w:type="auto"/>
            <w:gridSpan w:val="2"/>
            <w:vMerge/>
            <w:tcBorders>
              <w:top w:val="nil"/>
              <w:left w:val="single" w:sz="3" w:space="0" w:color="000000"/>
              <w:bottom w:val="nil"/>
              <w:right w:val="nil"/>
            </w:tcBorders>
          </w:tcPr>
          <w:p w14:paraId="0AFE9C13" w14:textId="77777777" w:rsidR="00541219" w:rsidRDefault="00541219">
            <w:pPr>
              <w:spacing w:after="160"/>
              <w:ind w:left="0" w:firstLine="0"/>
            </w:pPr>
          </w:p>
        </w:tc>
      </w:tr>
      <w:tr w:rsidR="00541219" w14:paraId="6EE5F0FA"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3F94BC47" w14:textId="77777777" w:rsidR="00541219" w:rsidRDefault="00000000">
            <w:pPr>
              <w:spacing w:after="0"/>
              <w:ind w:left="0" w:right="254" w:firstLine="0"/>
              <w:jc w:val="both"/>
            </w:pPr>
            <w:r>
              <w:rPr>
                <w:sz w:val="8"/>
              </w:rPr>
              <w:t>178. De acordo com o estabelecido no Decreto n° 12.068/24, o contrato de concessão deve trazer a alocação de riscos da concessão. Assim, é recomendável estabelecer uma cláusula contratual sobre riscos, de maneira objetiva, de forma a trazer segurança jurídica e incentivar a boa gestão do contrato pelas partes.</w:t>
            </w:r>
          </w:p>
        </w:tc>
        <w:tc>
          <w:tcPr>
            <w:tcW w:w="0" w:type="auto"/>
            <w:gridSpan w:val="2"/>
            <w:vMerge/>
            <w:tcBorders>
              <w:top w:val="nil"/>
              <w:left w:val="single" w:sz="3" w:space="0" w:color="000000"/>
              <w:bottom w:val="nil"/>
              <w:right w:val="nil"/>
            </w:tcBorders>
          </w:tcPr>
          <w:p w14:paraId="4807D0E6" w14:textId="77777777" w:rsidR="00541219" w:rsidRDefault="00541219">
            <w:pPr>
              <w:spacing w:after="160"/>
              <w:ind w:left="0" w:firstLine="0"/>
            </w:pPr>
          </w:p>
        </w:tc>
      </w:tr>
      <w:tr w:rsidR="00541219" w14:paraId="4907747D"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065A9678" w14:textId="77777777" w:rsidR="00541219" w:rsidRDefault="00000000">
            <w:pPr>
              <w:spacing w:after="0"/>
              <w:ind w:left="0" w:firstLine="0"/>
            </w:pPr>
            <w:r>
              <w:rPr>
                <w:sz w:val="8"/>
              </w:rPr>
              <w:t>179. É importante aqui destacar a diferença entre a Concessão de Distribuição, que está sendo prorrogada, e outras concessões ou autorizações do próprio setor elétrico. A transmissão e a geração possuem regimes de prestação do serviço bastante distintos em relação ao da distribuição. São segmentos com maior intensidade de capital (investimentos), sendo esses alocados, na fase de implantação do projeto, concentrada no início da concessão/autorização.</w:t>
            </w:r>
          </w:p>
        </w:tc>
        <w:tc>
          <w:tcPr>
            <w:tcW w:w="0" w:type="auto"/>
            <w:gridSpan w:val="2"/>
            <w:vMerge/>
            <w:tcBorders>
              <w:top w:val="nil"/>
              <w:left w:val="single" w:sz="3" w:space="0" w:color="000000"/>
              <w:bottom w:val="nil"/>
              <w:right w:val="nil"/>
            </w:tcBorders>
          </w:tcPr>
          <w:p w14:paraId="5C4B1F95" w14:textId="77777777" w:rsidR="00541219" w:rsidRDefault="00541219">
            <w:pPr>
              <w:spacing w:after="160"/>
              <w:ind w:left="0" w:firstLine="0"/>
            </w:pPr>
          </w:p>
        </w:tc>
      </w:tr>
      <w:tr w:rsidR="00541219" w14:paraId="6AFEE9F9" w14:textId="77777777">
        <w:trPr>
          <w:trHeight w:val="470"/>
        </w:trPr>
        <w:tc>
          <w:tcPr>
            <w:tcW w:w="5344" w:type="dxa"/>
            <w:tcBorders>
              <w:top w:val="single" w:sz="3" w:space="0" w:color="000000"/>
              <w:left w:val="single" w:sz="3" w:space="0" w:color="000000"/>
              <w:bottom w:val="single" w:sz="3" w:space="0" w:color="000000"/>
              <w:right w:val="single" w:sz="3" w:space="0" w:color="000000"/>
            </w:tcBorders>
          </w:tcPr>
          <w:p w14:paraId="3E0CC5B0" w14:textId="77777777" w:rsidR="00541219" w:rsidRDefault="00000000">
            <w:pPr>
              <w:spacing w:after="0"/>
              <w:ind w:left="0" w:firstLine="0"/>
            </w:pPr>
            <w:r>
              <w:rPr>
                <w:sz w:val="8"/>
              </w:rPr>
              <w:t>180. A concessão de transmissão, por exemplo, compreende "construir, operar e manter” as instalações – diferentemente de atender os usurários em uma dada região geográfica, como é na distribuição. O risco do contrato de concessão desse segmento é muito concentrado no início da concessão (“construir”), sendo o evento “entrada em operação” o grande definidor do sucesso ou fracasso do empreendimento. Após a construção, o desafio passa a ser manter as instalações disponíveis durante todo o período contratual. Assim, a regulação via contrato ganha força, sendo essencial a definição de cláusulas bem específicas, inclusive de riscos.</w:t>
            </w:r>
          </w:p>
        </w:tc>
        <w:tc>
          <w:tcPr>
            <w:tcW w:w="0" w:type="auto"/>
            <w:gridSpan w:val="2"/>
            <w:vMerge/>
            <w:tcBorders>
              <w:top w:val="nil"/>
              <w:left w:val="single" w:sz="3" w:space="0" w:color="000000"/>
              <w:bottom w:val="nil"/>
              <w:right w:val="nil"/>
            </w:tcBorders>
          </w:tcPr>
          <w:p w14:paraId="0B08C875" w14:textId="77777777" w:rsidR="00541219" w:rsidRDefault="00541219">
            <w:pPr>
              <w:spacing w:after="160"/>
              <w:ind w:left="0" w:firstLine="0"/>
            </w:pPr>
          </w:p>
        </w:tc>
      </w:tr>
      <w:tr w:rsidR="00541219" w14:paraId="43039777" w14:textId="77777777">
        <w:trPr>
          <w:trHeight w:val="470"/>
        </w:trPr>
        <w:tc>
          <w:tcPr>
            <w:tcW w:w="5344" w:type="dxa"/>
            <w:tcBorders>
              <w:top w:val="single" w:sz="3" w:space="0" w:color="000000"/>
              <w:left w:val="single" w:sz="3" w:space="0" w:color="000000"/>
              <w:bottom w:val="single" w:sz="3" w:space="0" w:color="000000"/>
              <w:right w:val="single" w:sz="3" w:space="0" w:color="000000"/>
            </w:tcBorders>
          </w:tcPr>
          <w:p w14:paraId="5062DB82" w14:textId="77777777" w:rsidR="00541219" w:rsidRDefault="00000000">
            <w:pPr>
              <w:spacing w:after="0"/>
              <w:ind w:left="0" w:firstLine="0"/>
            </w:pPr>
            <w:r>
              <w:rPr>
                <w:sz w:val="8"/>
              </w:rPr>
              <w:t>181. O modelo de prestação do serviço de distribuição é diferente. Trata-se de fornecer o serviço de energia elétrica de forma adequada aos usuários em uma área durante todo o período contratual. Como os investimentos e demais fatores que interferem na prestação do serviço certamente são mutáveis durante os anos da concessão, deve-se buscar tratar as questões associadas à prestação do serviço no processo normativo da regulação, e não especificar no contrato de concessão. O maior exemplo é a evolução tecnológica e seu reflexo nas expectativas da sociedade, que pode no extremo alterar até mesmo o conceito de prestação de serviço adequado.</w:t>
            </w:r>
          </w:p>
        </w:tc>
        <w:tc>
          <w:tcPr>
            <w:tcW w:w="0" w:type="auto"/>
            <w:gridSpan w:val="2"/>
            <w:vMerge/>
            <w:tcBorders>
              <w:top w:val="nil"/>
              <w:left w:val="single" w:sz="3" w:space="0" w:color="000000"/>
              <w:bottom w:val="nil"/>
              <w:right w:val="nil"/>
            </w:tcBorders>
          </w:tcPr>
          <w:p w14:paraId="7B8BF359" w14:textId="77777777" w:rsidR="00541219" w:rsidRDefault="00541219">
            <w:pPr>
              <w:spacing w:after="160"/>
              <w:ind w:left="0" w:firstLine="0"/>
            </w:pPr>
          </w:p>
        </w:tc>
      </w:tr>
      <w:tr w:rsidR="00541219" w14:paraId="0DA4CAC9" w14:textId="77777777">
        <w:trPr>
          <w:trHeight w:val="470"/>
        </w:trPr>
        <w:tc>
          <w:tcPr>
            <w:tcW w:w="5344" w:type="dxa"/>
            <w:tcBorders>
              <w:top w:val="single" w:sz="3" w:space="0" w:color="000000"/>
              <w:left w:val="single" w:sz="3" w:space="0" w:color="000000"/>
              <w:bottom w:val="single" w:sz="3" w:space="0" w:color="000000"/>
              <w:right w:val="single" w:sz="3" w:space="0" w:color="000000"/>
            </w:tcBorders>
          </w:tcPr>
          <w:p w14:paraId="7BD68D10" w14:textId="77777777" w:rsidR="00541219" w:rsidRDefault="00000000">
            <w:pPr>
              <w:spacing w:after="0"/>
              <w:ind w:left="0" w:firstLine="0"/>
            </w:pPr>
            <w:r>
              <w:rPr>
                <w:sz w:val="8"/>
              </w:rPr>
              <w:t>182. A ANEEL já se debruçou sobre essa questão no início de sua missão de regular o setor. Com o modelo sendo instituído no final da década de 90, os primeiros contratos de concessão de distribuição tiveram vários aspectos técnicos referentes à prestação do serviço descritos detalhadamente, inclusive com anexos técnicos. A ANEEL, alicerçada em uma análise jurídica, buscou evoluir na regulação com uma padronização dos aspectos do serviço adequado, revogando, unilateralmente, por meio de Resoluções Normativas, eventuais disposições contrárias nos contratos.</w:t>
            </w:r>
          </w:p>
        </w:tc>
        <w:tc>
          <w:tcPr>
            <w:tcW w:w="0" w:type="auto"/>
            <w:gridSpan w:val="2"/>
            <w:vMerge/>
            <w:tcBorders>
              <w:top w:val="nil"/>
              <w:left w:val="single" w:sz="3" w:space="0" w:color="000000"/>
              <w:bottom w:val="nil"/>
              <w:right w:val="nil"/>
            </w:tcBorders>
          </w:tcPr>
          <w:p w14:paraId="70EEA109" w14:textId="77777777" w:rsidR="00541219" w:rsidRDefault="00541219">
            <w:pPr>
              <w:spacing w:after="160"/>
              <w:ind w:left="0" w:firstLine="0"/>
            </w:pPr>
          </w:p>
        </w:tc>
      </w:tr>
      <w:tr w:rsidR="00541219" w14:paraId="3F747E39"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060445E2" w14:textId="77777777" w:rsidR="00541219" w:rsidRDefault="00000000">
            <w:pPr>
              <w:spacing w:after="0"/>
              <w:ind w:left="0" w:firstLine="0"/>
            </w:pPr>
            <w:r>
              <w:rPr>
                <w:sz w:val="8"/>
              </w:rPr>
              <w:t>183. O episódio descrito acima sedimenta a visão de que, nos aspectos de prestação do serviço adequado, deve-se buscar um modelo de contrato menos detalhado, buscando apenas definir os aspectos gerais do risco para trazer segurança aos investidores, e remetendo-se o que for possível à regulação.</w:t>
            </w:r>
          </w:p>
        </w:tc>
        <w:tc>
          <w:tcPr>
            <w:tcW w:w="0" w:type="auto"/>
            <w:gridSpan w:val="2"/>
            <w:vMerge/>
            <w:tcBorders>
              <w:top w:val="nil"/>
              <w:left w:val="single" w:sz="3" w:space="0" w:color="000000"/>
              <w:bottom w:val="nil"/>
              <w:right w:val="nil"/>
            </w:tcBorders>
          </w:tcPr>
          <w:p w14:paraId="6CF99FCD" w14:textId="77777777" w:rsidR="00541219" w:rsidRDefault="00541219">
            <w:pPr>
              <w:spacing w:after="160"/>
              <w:ind w:left="0" w:firstLine="0"/>
            </w:pPr>
          </w:p>
        </w:tc>
      </w:tr>
      <w:tr w:rsidR="00541219" w14:paraId="7E12DEC3"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731B2932" w14:textId="77777777" w:rsidR="00541219" w:rsidRDefault="00000000">
            <w:pPr>
              <w:spacing w:after="0"/>
              <w:ind w:left="0" w:firstLine="0"/>
            </w:pPr>
            <w:r>
              <w:rPr>
                <w:sz w:val="8"/>
              </w:rPr>
              <w:t>184. Por outro lado, é necessário dar destaque aos aspectos econômicos do contrato, pois a variação dos aspectos econômicos durante o contrato altera seu equilíbrio econômico-financeiro.</w:t>
            </w:r>
          </w:p>
        </w:tc>
        <w:tc>
          <w:tcPr>
            <w:tcW w:w="0" w:type="auto"/>
            <w:gridSpan w:val="2"/>
            <w:vMerge/>
            <w:tcBorders>
              <w:top w:val="nil"/>
              <w:left w:val="single" w:sz="3" w:space="0" w:color="000000"/>
              <w:bottom w:val="nil"/>
              <w:right w:val="nil"/>
            </w:tcBorders>
          </w:tcPr>
          <w:p w14:paraId="740850DB" w14:textId="77777777" w:rsidR="00541219" w:rsidRDefault="00541219">
            <w:pPr>
              <w:spacing w:after="160"/>
              <w:ind w:left="0" w:firstLine="0"/>
            </w:pPr>
          </w:p>
        </w:tc>
      </w:tr>
      <w:tr w:rsidR="00541219" w14:paraId="2F01BE10"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34F8CCC3" w14:textId="77777777" w:rsidR="00541219" w:rsidRDefault="00000000">
            <w:pPr>
              <w:spacing w:after="0"/>
              <w:ind w:left="0" w:firstLine="0"/>
            </w:pPr>
            <w:r>
              <w:rPr>
                <w:sz w:val="8"/>
              </w:rPr>
              <w:t>185. É importante destacar que a nova Cláusula de risco precisa atender tanto o atual modelo econômico do contrato de concessão quanto às suas possíveis alterações. Em vista da duração do contrato (30 anos) e o cenário de transformações a que o setor de distribuição de energia elétrica está submetido, o Decreto 12.068/24 trouxe, no inciso XIV do art. 4o, uma série de flexibilizações possíveis à cláusula econômica dos contratos. Isso pode impactar na alocação de riscos e deverá ser tratado na cláusula.</w:t>
            </w:r>
          </w:p>
        </w:tc>
        <w:tc>
          <w:tcPr>
            <w:tcW w:w="0" w:type="auto"/>
            <w:gridSpan w:val="2"/>
            <w:vMerge/>
            <w:tcBorders>
              <w:top w:val="nil"/>
              <w:left w:val="single" w:sz="3" w:space="0" w:color="000000"/>
              <w:bottom w:val="nil"/>
              <w:right w:val="nil"/>
            </w:tcBorders>
          </w:tcPr>
          <w:p w14:paraId="47D41A4C" w14:textId="77777777" w:rsidR="00541219" w:rsidRDefault="00541219">
            <w:pPr>
              <w:spacing w:after="160"/>
              <w:ind w:left="0" w:firstLine="0"/>
            </w:pPr>
          </w:p>
        </w:tc>
      </w:tr>
      <w:tr w:rsidR="00541219" w14:paraId="15319863"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70E5273A" w14:textId="77777777" w:rsidR="00541219" w:rsidRDefault="00000000">
            <w:pPr>
              <w:spacing w:after="0"/>
              <w:ind w:left="0" w:right="2" w:firstLine="0"/>
            </w:pPr>
            <w:r>
              <w:rPr>
                <w:sz w:val="8"/>
              </w:rPr>
              <w:t>186. Segue, portanto, objetivamente, a proposta de redação da Cláusula de Riscos da minuta de Contrato de Concessão, com a análise de cada item, quando necessário.</w:t>
            </w:r>
          </w:p>
        </w:tc>
        <w:tc>
          <w:tcPr>
            <w:tcW w:w="0" w:type="auto"/>
            <w:gridSpan w:val="2"/>
            <w:vMerge/>
            <w:tcBorders>
              <w:top w:val="nil"/>
              <w:left w:val="single" w:sz="3" w:space="0" w:color="000000"/>
              <w:bottom w:val="nil"/>
              <w:right w:val="nil"/>
            </w:tcBorders>
          </w:tcPr>
          <w:p w14:paraId="221EDDD9" w14:textId="77777777" w:rsidR="00541219" w:rsidRDefault="00541219">
            <w:pPr>
              <w:spacing w:after="160"/>
              <w:ind w:left="0" w:firstLine="0"/>
            </w:pPr>
          </w:p>
        </w:tc>
      </w:tr>
      <w:tr w:rsidR="00541219" w14:paraId="0BA8C6D9"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2AAFDD8A" w14:textId="77777777" w:rsidR="00541219" w:rsidRDefault="00000000">
            <w:pPr>
              <w:spacing w:after="0"/>
              <w:ind w:left="497" w:firstLine="0"/>
            </w:pPr>
            <w:r>
              <w:rPr>
                <w:sz w:val="8"/>
              </w:rPr>
              <w:t xml:space="preserve">     Cláusula Décima Quinta: Alocação de riscos</w:t>
            </w:r>
          </w:p>
          <w:p w14:paraId="37D2CD3A" w14:textId="77777777" w:rsidR="00541219" w:rsidRDefault="00000000">
            <w:pPr>
              <w:spacing w:after="0"/>
              <w:ind w:left="497" w:firstLine="0"/>
            </w:pPr>
            <w:r>
              <w:rPr>
                <w:sz w:val="8"/>
              </w:rPr>
              <w:t>Os riscos decorrentes da execução da concessão serão alocados ao Poder Concedente ou à Concessionária, nos termos das Subcláusulas Primeira e Segunda.</w:t>
            </w:r>
          </w:p>
        </w:tc>
        <w:tc>
          <w:tcPr>
            <w:tcW w:w="0" w:type="auto"/>
            <w:gridSpan w:val="2"/>
            <w:vMerge/>
            <w:tcBorders>
              <w:top w:val="nil"/>
              <w:left w:val="single" w:sz="3" w:space="0" w:color="000000"/>
              <w:bottom w:val="nil"/>
              <w:right w:val="nil"/>
            </w:tcBorders>
          </w:tcPr>
          <w:p w14:paraId="2D17F899" w14:textId="77777777" w:rsidR="00541219" w:rsidRDefault="00541219">
            <w:pPr>
              <w:spacing w:after="160"/>
              <w:ind w:left="0" w:firstLine="0"/>
            </w:pPr>
          </w:p>
        </w:tc>
      </w:tr>
      <w:tr w:rsidR="00541219" w14:paraId="7B433633"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64E12E53" w14:textId="77777777" w:rsidR="00541219" w:rsidRDefault="00000000">
            <w:pPr>
              <w:spacing w:after="0"/>
              <w:ind w:left="231" w:right="269" w:firstLine="0"/>
              <w:jc w:val="center"/>
            </w:pPr>
            <w:r>
              <w:rPr>
                <w:sz w:val="8"/>
              </w:rPr>
              <w:t xml:space="preserve">     Subcláusula Primeira: Com exceção das hipóteses previstas neste Contrato de Concessão, a Concessionária é integral e exclusivamente responsável por todos os riscos relacionados à Concessão, inclusive, mas sem limitação, pelos seguintes riscos:</w:t>
            </w:r>
          </w:p>
        </w:tc>
        <w:tc>
          <w:tcPr>
            <w:tcW w:w="0" w:type="auto"/>
            <w:gridSpan w:val="2"/>
            <w:vMerge/>
            <w:tcBorders>
              <w:top w:val="nil"/>
              <w:left w:val="single" w:sz="3" w:space="0" w:color="000000"/>
              <w:bottom w:val="nil"/>
              <w:right w:val="nil"/>
            </w:tcBorders>
          </w:tcPr>
          <w:p w14:paraId="2DBB0889" w14:textId="77777777" w:rsidR="00541219" w:rsidRDefault="00541219">
            <w:pPr>
              <w:spacing w:after="160"/>
              <w:ind w:left="0" w:firstLine="0"/>
            </w:pPr>
          </w:p>
        </w:tc>
      </w:tr>
      <w:tr w:rsidR="00541219" w14:paraId="2FEDB061"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5C8338D6" w14:textId="77777777" w:rsidR="00541219" w:rsidRDefault="00000000">
            <w:pPr>
              <w:spacing w:after="0"/>
              <w:ind w:left="497" w:firstLine="0"/>
            </w:pPr>
            <w:r>
              <w:rPr>
                <w:sz w:val="8"/>
              </w:rPr>
              <w:t xml:space="preserve">     I – </w:t>
            </w:r>
            <w:proofErr w:type="gramStart"/>
            <w:r>
              <w:rPr>
                <w:sz w:val="8"/>
              </w:rPr>
              <w:t>variação</w:t>
            </w:r>
            <w:proofErr w:type="gramEnd"/>
            <w:r>
              <w:rPr>
                <w:sz w:val="8"/>
              </w:rPr>
              <w:t xml:space="preserve"> de mercado sobre o valor de Parcela B entre as revisões tarifárias periódicas, observado o disposto na Subcláusula </w:t>
            </w:r>
          </w:p>
          <w:p w14:paraId="312862C1" w14:textId="77777777" w:rsidR="00541219" w:rsidRDefault="00000000">
            <w:pPr>
              <w:spacing w:after="0"/>
              <w:ind w:left="497" w:firstLine="0"/>
            </w:pPr>
            <w:r>
              <w:rPr>
                <w:sz w:val="8"/>
              </w:rPr>
              <w:t>Vigésima Quarta da Cláusula Sexta;</w:t>
            </w:r>
          </w:p>
        </w:tc>
        <w:tc>
          <w:tcPr>
            <w:tcW w:w="0" w:type="auto"/>
            <w:gridSpan w:val="2"/>
            <w:vMerge/>
            <w:tcBorders>
              <w:top w:val="nil"/>
              <w:left w:val="single" w:sz="3" w:space="0" w:color="000000"/>
              <w:bottom w:val="nil"/>
              <w:right w:val="nil"/>
            </w:tcBorders>
          </w:tcPr>
          <w:p w14:paraId="75614700" w14:textId="77777777" w:rsidR="00541219" w:rsidRDefault="00541219">
            <w:pPr>
              <w:spacing w:after="160"/>
              <w:ind w:left="0" w:firstLine="0"/>
            </w:pPr>
          </w:p>
        </w:tc>
      </w:tr>
      <w:tr w:rsidR="00541219" w14:paraId="49FD14EA"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4C9449F0" w14:textId="77777777" w:rsidR="00541219" w:rsidRDefault="00000000">
            <w:pPr>
              <w:spacing w:after="0"/>
              <w:ind w:left="497" w:firstLine="0"/>
            </w:pPr>
            <w:r>
              <w:rPr>
                <w:sz w:val="8"/>
              </w:rPr>
              <w:t xml:space="preserve">     (continua)</w:t>
            </w:r>
          </w:p>
        </w:tc>
        <w:tc>
          <w:tcPr>
            <w:tcW w:w="0" w:type="auto"/>
            <w:gridSpan w:val="2"/>
            <w:vMerge/>
            <w:tcBorders>
              <w:top w:val="nil"/>
              <w:left w:val="single" w:sz="3" w:space="0" w:color="000000"/>
              <w:bottom w:val="nil"/>
              <w:right w:val="nil"/>
            </w:tcBorders>
          </w:tcPr>
          <w:p w14:paraId="6FE547B6" w14:textId="77777777" w:rsidR="00541219" w:rsidRDefault="00541219">
            <w:pPr>
              <w:spacing w:after="160"/>
              <w:ind w:left="0" w:firstLine="0"/>
            </w:pPr>
          </w:p>
        </w:tc>
      </w:tr>
      <w:tr w:rsidR="00541219" w14:paraId="28D215D4"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0D184255" w14:textId="77777777" w:rsidR="00541219" w:rsidRDefault="00000000">
            <w:pPr>
              <w:spacing w:after="0"/>
              <w:ind w:left="0" w:firstLine="0"/>
            </w:pPr>
            <w:r>
              <w:rPr>
                <w:sz w:val="8"/>
              </w:rPr>
              <w:t>187. O risco de demanda (doravante chamado de risco de mercado) afeta o alcance das receitas que foram utilizadas na definição do preço (tarifa) a ser cobrado dos consumidores a cada ano. O mercado se realizando a menor do que foi utilizado no cálculo da tarifa significa uma queda de arrecadação de receita, e vice-versa. Ou seja, trata-se do risco de variação sobre o mercado que foi utilizado para a construção das tarifas.</w:t>
            </w:r>
          </w:p>
        </w:tc>
        <w:tc>
          <w:tcPr>
            <w:tcW w:w="0" w:type="auto"/>
            <w:gridSpan w:val="2"/>
            <w:vMerge/>
            <w:tcBorders>
              <w:top w:val="nil"/>
              <w:left w:val="single" w:sz="3" w:space="0" w:color="000000"/>
              <w:bottom w:val="nil"/>
              <w:right w:val="nil"/>
            </w:tcBorders>
          </w:tcPr>
          <w:p w14:paraId="76B56AE0" w14:textId="77777777" w:rsidR="00541219" w:rsidRDefault="00541219">
            <w:pPr>
              <w:spacing w:after="160"/>
              <w:ind w:left="0" w:firstLine="0"/>
            </w:pPr>
          </w:p>
        </w:tc>
      </w:tr>
      <w:tr w:rsidR="00541219" w14:paraId="25C70D77" w14:textId="77777777">
        <w:trPr>
          <w:trHeight w:val="470"/>
        </w:trPr>
        <w:tc>
          <w:tcPr>
            <w:tcW w:w="5344" w:type="dxa"/>
            <w:tcBorders>
              <w:top w:val="single" w:sz="3" w:space="0" w:color="000000"/>
              <w:left w:val="single" w:sz="3" w:space="0" w:color="000000"/>
              <w:bottom w:val="single" w:sz="3" w:space="0" w:color="000000"/>
              <w:right w:val="single" w:sz="3" w:space="0" w:color="000000"/>
            </w:tcBorders>
          </w:tcPr>
          <w:p w14:paraId="1E9C22A3" w14:textId="77777777" w:rsidR="00541219" w:rsidRDefault="00000000">
            <w:pPr>
              <w:spacing w:after="0"/>
              <w:ind w:left="0" w:firstLine="0"/>
            </w:pPr>
            <w:r>
              <w:rPr>
                <w:sz w:val="8"/>
              </w:rPr>
              <w:t>188. Lembra-se, primeiramente, que a receita da concessionária é dividida em Parcela A e Parcela B, de acordo com a cláusula Sexta ou Sétima do Contrato de Concessão, a depender se o contrato foi prorrogado, conforme Lei no 12.783, de 2013, e Decreto no 8.461, de 2015, ou que tenha assinado o termo aditivo ao contrato de concessão, nos termos do Despacho no 2.194, de 2016, doravante chamado de “contrato novo”. E, ainda, a Parcela A subdivide-se em Encargos Setoriais, Energia Elétrica Comprada, Custos de conexão e de Uso das Instalações de Transmissão e/ou Distribuição de Energia Elétrica e Receitas Irrecuperáveis (no caso de contratos novos).</w:t>
            </w:r>
          </w:p>
        </w:tc>
        <w:tc>
          <w:tcPr>
            <w:tcW w:w="0" w:type="auto"/>
            <w:gridSpan w:val="2"/>
            <w:vMerge/>
            <w:tcBorders>
              <w:top w:val="nil"/>
              <w:left w:val="single" w:sz="3" w:space="0" w:color="000000"/>
              <w:bottom w:val="nil"/>
              <w:right w:val="nil"/>
            </w:tcBorders>
          </w:tcPr>
          <w:p w14:paraId="66E978AA" w14:textId="77777777" w:rsidR="00541219" w:rsidRDefault="00541219">
            <w:pPr>
              <w:spacing w:after="160"/>
              <w:ind w:left="0" w:firstLine="0"/>
            </w:pPr>
          </w:p>
        </w:tc>
      </w:tr>
      <w:tr w:rsidR="00541219" w14:paraId="28F7F93E"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605C63CC" w14:textId="77777777" w:rsidR="00541219" w:rsidRDefault="00000000">
            <w:pPr>
              <w:spacing w:after="0"/>
              <w:ind w:left="0" w:firstLine="0"/>
            </w:pPr>
            <w:r>
              <w:rPr>
                <w:sz w:val="8"/>
              </w:rPr>
              <w:t>189. Destas Cláusulas infere-se o risco de mercado existente no contrato, e ele incide de formas diferentes sobre a Parcela A e sobre a Parcela B, conforme será explicado a seguir.</w:t>
            </w:r>
          </w:p>
        </w:tc>
        <w:tc>
          <w:tcPr>
            <w:tcW w:w="0" w:type="auto"/>
            <w:gridSpan w:val="2"/>
            <w:vMerge/>
            <w:tcBorders>
              <w:top w:val="nil"/>
              <w:left w:val="single" w:sz="3" w:space="0" w:color="000000"/>
              <w:bottom w:val="nil"/>
              <w:right w:val="nil"/>
            </w:tcBorders>
          </w:tcPr>
          <w:p w14:paraId="536D7395" w14:textId="77777777" w:rsidR="00541219" w:rsidRDefault="00541219">
            <w:pPr>
              <w:spacing w:after="160"/>
              <w:ind w:left="0" w:firstLine="0"/>
            </w:pPr>
          </w:p>
        </w:tc>
      </w:tr>
      <w:tr w:rsidR="00541219" w14:paraId="1ECCA001"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4C217865" w14:textId="77777777" w:rsidR="00541219" w:rsidRDefault="00000000">
            <w:pPr>
              <w:spacing w:after="0"/>
              <w:ind w:left="0" w:firstLine="0"/>
            </w:pPr>
            <w:r>
              <w:rPr>
                <w:sz w:val="8"/>
              </w:rPr>
              <w:t>190. Em relação à parcela A, ela é calculada considerando as condições vigentes eficientes ou regulatórias dos seus itens na data do processo tarifário e o mercado de referência. Assim, infere-se que o risco de mercado sobre os itens de Parcela A é neutralizado para a concessionária a cada processo tarifário, restando apenas o risco para a concessionária entre um processo e outro, pois o mercado pode se desenvolver de forma diferente daquele que foi utilizado na construção das tarifas dos itens de Parcela A.</w:t>
            </w:r>
          </w:p>
        </w:tc>
        <w:tc>
          <w:tcPr>
            <w:tcW w:w="0" w:type="auto"/>
            <w:gridSpan w:val="2"/>
            <w:vMerge/>
            <w:tcBorders>
              <w:top w:val="nil"/>
              <w:left w:val="single" w:sz="3" w:space="0" w:color="000000"/>
              <w:bottom w:val="nil"/>
              <w:right w:val="nil"/>
            </w:tcBorders>
          </w:tcPr>
          <w:p w14:paraId="3B148F5C" w14:textId="77777777" w:rsidR="00541219" w:rsidRDefault="00541219">
            <w:pPr>
              <w:spacing w:after="160"/>
              <w:ind w:left="0" w:firstLine="0"/>
            </w:pPr>
          </w:p>
        </w:tc>
      </w:tr>
      <w:tr w:rsidR="00541219" w14:paraId="6F8A3D44" w14:textId="77777777">
        <w:trPr>
          <w:trHeight w:val="470"/>
        </w:trPr>
        <w:tc>
          <w:tcPr>
            <w:tcW w:w="5344" w:type="dxa"/>
            <w:tcBorders>
              <w:top w:val="single" w:sz="3" w:space="0" w:color="000000"/>
              <w:left w:val="single" w:sz="3" w:space="0" w:color="000000"/>
              <w:bottom w:val="single" w:sz="3" w:space="0" w:color="000000"/>
              <w:right w:val="single" w:sz="3" w:space="0" w:color="000000"/>
            </w:tcBorders>
          </w:tcPr>
          <w:p w14:paraId="2B230933" w14:textId="77777777" w:rsidR="00541219" w:rsidRDefault="00000000">
            <w:pPr>
              <w:spacing w:after="0"/>
              <w:ind w:left="0" w:firstLine="0"/>
            </w:pPr>
            <w:r>
              <w:rPr>
                <w:sz w:val="8"/>
              </w:rPr>
              <w:t>191. Em relação a esse risco de mercado para a Parcela A entre dois processos adjacentes, há tratamento nos contratos de concessão. Para os contratos novos, foi estabelecido que a ANEEL garantirá a neutralidade de itens da Parcela A, ou seja, o risco de mercado sobre todos os itens de parcela A entre um processo e outro é do Poder Concedente, e é esse modelo de contrato que está sendo proposto nesta Consulta Pública. Já para os contratos antigos, a neutralidade garantida à concessionária se refere apenas aos Encargos Setoriais da Parcela A. Lembra-se que a Parcela A compreende valores eficientes ou regulatórios, a depender do item.</w:t>
            </w:r>
          </w:p>
        </w:tc>
        <w:tc>
          <w:tcPr>
            <w:tcW w:w="0" w:type="auto"/>
            <w:gridSpan w:val="2"/>
            <w:vMerge/>
            <w:tcBorders>
              <w:top w:val="nil"/>
              <w:left w:val="single" w:sz="3" w:space="0" w:color="000000"/>
              <w:bottom w:val="nil"/>
              <w:right w:val="nil"/>
            </w:tcBorders>
          </w:tcPr>
          <w:p w14:paraId="7A24C443" w14:textId="77777777" w:rsidR="00541219" w:rsidRDefault="00541219">
            <w:pPr>
              <w:spacing w:after="160"/>
              <w:ind w:left="0" w:firstLine="0"/>
            </w:pPr>
          </w:p>
        </w:tc>
      </w:tr>
      <w:tr w:rsidR="00541219" w14:paraId="39CC6C85" w14:textId="77777777">
        <w:trPr>
          <w:trHeight w:val="470"/>
        </w:trPr>
        <w:tc>
          <w:tcPr>
            <w:tcW w:w="5344" w:type="dxa"/>
            <w:tcBorders>
              <w:top w:val="single" w:sz="3" w:space="0" w:color="000000"/>
              <w:left w:val="single" w:sz="3" w:space="0" w:color="000000"/>
              <w:bottom w:val="single" w:sz="3" w:space="0" w:color="000000"/>
              <w:right w:val="single" w:sz="3" w:space="0" w:color="000000"/>
            </w:tcBorders>
          </w:tcPr>
          <w:p w14:paraId="255D4E85" w14:textId="77777777" w:rsidR="00541219" w:rsidRDefault="00000000">
            <w:pPr>
              <w:spacing w:after="0"/>
              <w:ind w:left="497" w:firstLine="0"/>
            </w:pPr>
            <w:r>
              <w:rPr>
                <w:sz w:val="8"/>
              </w:rPr>
              <w:t xml:space="preserve">     Subcláusula Décima Oitava - Nos reajustes tarifários e revisões tarifárias ordinárias a ANEEL garantirá a neutralidade aos itens da Parcela A, a ser considerada nos ajustes da receita da DISTRIBUIDORA referidos na Subcláusula Sétima desta Cláusula, consideradas as diferenças mensais apuradas entre os valores faturados de cada item no Período de Referência e os respectivos valores contemplados no reposicionamento tarifário anterior, devidamente remuneradas com base no mesmo índice utilizado na apuração do saldo da Conta de Compensação de Variação de Valores de Itens da Parcela A - CVA, observando:</w:t>
            </w:r>
          </w:p>
        </w:tc>
        <w:tc>
          <w:tcPr>
            <w:tcW w:w="0" w:type="auto"/>
            <w:gridSpan w:val="2"/>
            <w:vMerge/>
            <w:tcBorders>
              <w:top w:val="nil"/>
              <w:left w:val="single" w:sz="3" w:space="0" w:color="000000"/>
              <w:bottom w:val="nil"/>
              <w:right w:val="nil"/>
            </w:tcBorders>
          </w:tcPr>
          <w:p w14:paraId="0799FEB0" w14:textId="77777777" w:rsidR="00541219" w:rsidRDefault="00541219">
            <w:pPr>
              <w:spacing w:after="160"/>
              <w:ind w:left="0" w:firstLine="0"/>
            </w:pPr>
          </w:p>
        </w:tc>
      </w:tr>
      <w:tr w:rsidR="00541219" w14:paraId="1067AE61"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726C0833" w14:textId="77777777" w:rsidR="00541219" w:rsidRDefault="00000000">
            <w:pPr>
              <w:spacing w:after="0"/>
              <w:ind w:left="497" w:right="27" w:firstLine="0"/>
            </w:pPr>
            <w:r>
              <w:rPr>
                <w:sz w:val="8"/>
              </w:rPr>
              <w:t xml:space="preserve">          I - </w:t>
            </w:r>
            <w:proofErr w:type="gramStart"/>
            <w:r>
              <w:rPr>
                <w:sz w:val="8"/>
              </w:rPr>
              <w:t>no</w:t>
            </w:r>
            <w:proofErr w:type="gramEnd"/>
            <w:r>
              <w:rPr>
                <w:sz w:val="8"/>
              </w:rPr>
              <w:t xml:space="preserve"> cálculo da neutralidade dos Custos de Conexão e de Uso das Instalações de Transmissão e/ou Distribuição de Energia Elétrica: as contratações eficientes de montantes de uso dos sistemas de transmissão e de distribuição e de pontos de conexão ou contratações de terceiros cuja responsabilidade pelo pagamento seja da DISTRIBUIDORA;</w:t>
            </w:r>
          </w:p>
        </w:tc>
        <w:tc>
          <w:tcPr>
            <w:tcW w:w="0" w:type="auto"/>
            <w:gridSpan w:val="2"/>
            <w:vMerge/>
            <w:tcBorders>
              <w:top w:val="nil"/>
              <w:left w:val="single" w:sz="3" w:space="0" w:color="000000"/>
              <w:bottom w:val="nil"/>
              <w:right w:val="nil"/>
            </w:tcBorders>
          </w:tcPr>
          <w:p w14:paraId="35837D38" w14:textId="77777777" w:rsidR="00541219" w:rsidRDefault="00541219">
            <w:pPr>
              <w:spacing w:after="160"/>
              <w:ind w:left="0" w:firstLine="0"/>
            </w:pPr>
          </w:p>
        </w:tc>
      </w:tr>
      <w:tr w:rsidR="00541219" w14:paraId="1AEB585E"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74997B54" w14:textId="77777777" w:rsidR="00541219" w:rsidRDefault="00000000">
            <w:pPr>
              <w:spacing w:after="0"/>
              <w:ind w:left="497" w:firstLine="0"/>
            </w:pPr>
            <w:r>
              <w:rPr>
                <w:sz w:val="8"/>
              </w:rPr>
              <w:t xml:space="preserve">          II - </w:t>
            </w:r>
            <w:proofErr w:type="gramStart"/>
            <w:r>
              <w:rPr>
                <w:sz w:val="8"/>
              </w:rPr>
              <w:t>no</w:t>
            </w:r>
            <w:proofErr w:type="gramEnd"/>
            <w:r>
              <w:rPr>
                <w:sz w:val="8"/>
              </w:rPr>
              <w:t xml:space="preserve"> cálculo da neutralidade dos custos de Energia Elétrica Comprada: os níveis eficientes de perdas, observado o disposto na </w:t>
            </w:r>
          </w:p>
          <w:p w14:paraId="3F1D3948" w14:textId="77777777" w:rsidR="00541219" w:rsidRDefault="00000000">
            <w:pPr>
              <w:spacing w:after="0"/>
              <w:ind w:left="497" w:firstLine="0"/>
            </w:pPr>
            <w:r>
              <w:rPr>
                <w:sz w:val="8"/>
              </w:rPr>
              <w:t>Subcláusula Oitava desta Cláusula e na Subcláusula Décima Nona desta Cláusula; e</w:t>
            </w:r>
          </w:p>
        </w:tc>
        <w:tc>
          <w:tcPr>
            <w:tcW w:w="0" w:type="auto"/>
            <w:gridSpan w:val="2"/>
            <w:vMerge/>
            <w:tcBorders>
              <w:top w:val="nil"/>
              <w:left w:val="single" w:sz="3" w:space="0" w:color="000000"/>
              <w:bottom w:val="nil"/>
              <w:right w:val="nil"/>
            </w:tcBorders>
          </w:tcPr>
          <w:p w14:paraId="5F2B4B0F" w14:textId="77777777" w:rsidR="00541219" w:rsidRDefault="00541219">
            <w:pPr>
              <w:spacing w:after="160"/>
              <w:ind w:left="0" w:firstLine="0"/>
            </w:pPr>
          </w:p>
        </w:tc>
      </w:tr>
      <w:tr w:rsidR="00541219" w14:paraId="7A0A153F"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51A9C06D" w14:textId="77777777" w:rsidR="00541219" w:rsidRDefault="00000000">
            <w:pPr>
              <w:spacing w:after="0"/>
              <w:ind w:left="497" w:firstLine="0"/>
            </w:pPr>
            <w:r>
              <w:rPr>
                <w:sz w:val="8"/>
              </w:rPr>
              <w:t xml:space="preserve">          III - no cálculo da neutralidade das Receitas Irrecuperáveis: os percentuais regulatórios de receitas irrecuperáveis, conforme Subcláusula Oitava desta Cláusula.</w:t>
            </w:r>
          </w:p>
        </w:tc>
        <w:tc>
          <w:tcPr>
            <w:tcW w:w="0" w:type="auto"/>
            <w:gridSpan w:val="2"/>
            <w:vMerge/>
            <w:tcBorders>
              <w:top w:val="nil"/>
              <w:left w:val="single" w:sz="3" w:space="0" w:color="000000"/>
              <w:bottom w:val="nil"/>
              <w:right w:val="nil"/>
            </w:tcBorders>
          </w:tcPr>
          <w:p w14:paraId="7847EADD" w14:textId="77777777" w:rsidR="00541219" w:rsidRDefault="00541219">
            <w:pPr>
              <w:spacing w:after="160"/>
              <w:ind w:left="0" w:firstLine="0"/>
            </w:pPr>
          </w:p>
        </w:tc>
      </w:tr>
      <w:tr w:rsidR="00541219" w14:paraId="445AD177"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6FDE008E" w14:textId="77777777" w:rsidR="00541219" w:rsidRDefault="00000000">
            <w:pPr>
              <w:spacing w:after="0"/>
              <w:ind w:left="0" w:firstLine="0"/>
            </w:pPr>
            <w:r>
              <w:rPr>
                <w:sz w:val="8"/>
              </w:rPr>
              <w:t>192. Sobre os demais itens de Parcela A que não são encargos setoriais, para os contratos antigos, resta o risco de mercado entre um processo e outro alocado à concessionária.</w:t>
            </w:r>
          </w:p>
        </w:tc>
        <w:tc>
          <w:tcPr>
            <w:tcW w:w="0" w:type="auto"/>
            <w:gridSpan w:val="2"/>
            <w:vMerge/>
            <w:tcBorders>
              <w:top w:val="nil"/>
              <w:left w:val="single" w:sz="3" w:space="0" w:color="000000"/>
              <w:bottom w:val="nil"/>
              <w:right w:val="nil"/>
            </w:tcBorders>
          </w:tcPr>
          <w:p w14:paraId="32C82C5E" w14:textId="77777777" w:rsidR="00541219" w:rsidRDefault="00541219">
            <w:pPr>
              <w:spacing w:after="160"/>
              <w:ind w:left="0" w:firstLine="0"/>
            </w:pPr>
          </w:p>
        </w:tc>
      </w:tr>
      <w:tr w:rsidR="00541219" w14:paraId="025197D7"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6B22885C" w14:textId="77777777" w:rsidR="00541219" w:rsidRDefault="00000000">
            <w:pPr>
              <w:spacing w:after="0"/>
              <w:ind w:left="0" w:firstLine="0"/>
            </w:pPr>
            <w:r>
              <w:rPr>
                <w:sz w:val="8"/>
              </w:rPr>
              <w:t>193. Em resumo, o Poder Concedente assume o risco de mercado sobre as receitas regulatórias ou eficientes de Parcela A.</w:t>
            </w:r>
          </w:p>
        </w:tc>
        <w:tc>
          <w:tcPr>
            <w:tcW w:w="0" w:type="auto"/>
            <w:gridSpan w:val="2"/>
            <w:vMerge/>
            <w:tcBorders>
              <w:top w:val="nil"/>
              <w:left w:val="single" w:sz="3" w:space="0" w:color="000000"/>
              <w:bottom w:val="nil"/>
              <w:right w:val="nil"/>
            </w:tcBorders>
          </w:tcPr>
          <w:p w14:paraId="26D6323A" w14:textId="77777777" w:rsidR="00541219" w:rsidRDefault="00541219">
            <w:pPr>
              <w:spacing w:after="160"/>
              <w:ind w:left="0" w:firstLine="0"/>
            </w:pPr>
          </w:p>
        </w:tc>
      </w:tr>
      <w:tr w:rsidR="00541219" w14:paraId="3F7D547B" w14:textId="77777777">
        <w:trPr>
          <w:trHeight w:val="564"/>
        </w:trPr>
        <w:tc>
          <w:tcPr>
            <w:tcW w:w="5344" w:type="dxa"/>
            <w:tcBorders>
              <w:top w:val="single" w:sz="3" w:space="0" w:color="000000"/>
              <w:left w:val="single" w:sz="3" w:space="0" w:color="000000"/>
              <w:bottom w:val="single" w:sz="3" w:space="0" w:color="000000"/>
              <w:right w:val="single" w:sz="3" w:space="0" w:color="000000"/>
            </w:tcBorders>
          </w:tcPr>
          <w:p w14:paraId="0F3AD280" w14:textId="77777777" w:rsidR="00541219" w:rsidRDefault="00000000">
            <w:pPr>
              <w:spacing w:after="0"/>
              <w:ind w:left="0" w:firstLine="0"/>
            </w:pPr>
            <w:r>
              <w:rPr>
                <w:sz w:val="8"/>
              </w:rPr>
              <w:t>194. Ainda, é importante dar destaque às perdas de energia e as receitas irrecuperáveis. As perdas de energia fazem parte da compra de energia e são estabelecidas por níveis regulatórios. Ou seja, o Poder Concedente assume o risco de mercado sobre o valor regulatório das perdas de energia, enquanto o risco financeiro da diferença entre o nível real e o regulatório é alocado à concessionária. O risco de mercado sobre as receitas auferidas com perdas é neutralizado até o nível regulatório. Já em relação às receitas irrecuperáveis, o risco de mercado nesta proposta de contrato está sendo alterado em relação a como funciona atualmente, sob o contrato antigo. Os custos regulatórios com Receitas Irrecuperáveis passarão a ser inseridos na Parcela A (e não mais na Parcela B), e o risco de mercado sobre elas dar-se-á da mesma forma que para as perdas de energia.</w:t>
            </w:r>
          </w:p>
        </w:tc>
        <w:tc>
          <w:tcPr>
            <w:tcW w:w="0" w:type="auto"/>
            <w:gridSpan w:val="2"/>
            <w:vMerge/>
            <w:tcBorders>
              <w:top w:val="nil"/>
              <w:left w:val="single" w:sz="3" w:space="0" w:color="000000"/>
              <w:bottom w:val="nil"/>
              <w:right w:val="nil"/>
            </w:tcBorders>
          </w:tcPr>
          <w:p w14:paraId="5EAA1F3D" w14:textId="77777777" w:rsidR="00541219" w:rsidRDefault="00541219">
            <w:pPr>
              <w:spacing w:after="160"/>
              <w:ind w:left="0" w:firstLine="0"/>
            </w:pPr>
          </w:p>
        </w:tc>
      </w:tr>
      <w:tr w:rsidR="00541219" w14:paraId="36181BA3" w14:textId="77777777">
        <w:trPr>
          <w:trHeight w:val="564"/>
        </w:trPr>
        <w:tc>
          <w:tcPr>
            <w:tcW w:w="5344" w:type="dxa"/>
            <w:tcBorders>
              <w:top w:val="single" w:sz="3" w:space="0" w:color="000000"/>
              <w:left w:val="single" w:sz="3" w:space="0" w:color="000000"/>
              <w:bottom w:val="single" w:sz="3" w:space="0" w:color="000000"/>
              <w:right w:val="single" w:sz="3" w:space="0" w:color="000000"/>
            </w:tcBorders>
          </w:tcPr>
          <w:p w14:paraId="461ECD0C" w14:textId="77777777" w:rsidR="00541219" w:rsidRDefault="00000000">
            <w:pPr>
              <w:spacing w:line="257" w:lineRule="auto"/>
              <w:ind w:left="0" w:right="12" w:firstLine="0"/>
            </w:pPr>
            <w:r>
              <w:rPr>
                <w:sz w:val="8"/>
              </w:rPr>
              <w:t xml:space="preserve">195. Em relação à Parcela B, não há alocação de risco de mercado explícita, e sim, de forma indireta, e, novamente, infere-se tal risco, na medida em que os contratos de distribuição atuais operam sob o regime de regulação econômica de </w:t>
            </w:r>
            <w:proofErr w:type="spellStart"/>
            <w:r>
              <w:rPr>
                <w:sz w:val="8"/>
              </w:rPr>
              <w:t>price</w:t>
            </w:r>
            <w:proofErr w:type="spellEnd"/>
            <w:r>
              <w:rPr>
                <w:sz w:val="8"/>
              </w:rPr>
              <w:t xml:space="preserve"> cap. Neste regime, o regulador, quando da revisão tarifária, estabelece a tarifa máxima que a concessionária poderá aplicar por um determinado período (o </w:t>
            </w:r>
            <w:proofErr w:type="spellStart"/>
            <w:r>
              <w:rPr>
                <w:sz w:val="8"/>
              </w:rPr>
              <w:t>lag</w:t>
            </w:r>
            <w:proofErr w:type="spellEnd"/>
            <w:r>
              <w:rPr>
                <w:sz w:val="8"/>
              </w:rPr>
              <w:t xml:space="preserve"> tarifário), e neste período, então, a concessionária intenta reter ganhos com a redução de custos, buscando a operação eficiente do sistema. Os ganhos de eficiência estimados são repartidos com o </w:t>
            </w:r>
          </w:p>
          <w:p w14:paraId="26AD2173" w14:textId="77777777" w:rsidR="00541219" w:rsidRDefault="00000000">
            <w:pPr>
              <w:spacing w:after="0"/>
              <w:ind w:left="0" w:firstLine="0"/>
            </w:pPr>
            <w:r>
              <w:rPr>
                <w:sz w:val="8"/>
              </w:rPr>
              <w:t xml:space="preserve">consumidor, dentro do período entre revisões periódicas, por meio do fator X. Essa regulação por incentivos tem como característica desvincular os custos reais e os custos regulatórios (reconhecidos na tarifa) </w:t>
            </w:r>
            <w:proofErr w:type="gramStart"/>
            <w:r>
              <w:rPr>
                <w:sz w:val="8"/>
              </w:rPr>
              <w:t>e também</w:t>
            </w:r>
            <w:proofErr w:type="gramEnd"/>
            <w:r>
              <w:rPr>
                <w:sz w:val="8"/>
              </w:rPr>
              <w:t xml:space="preserve"> trazer mais estabilidade às tarifas.</w:t>
            </w:r>
          </w:p>
        </w:tc>
        <w:tc>
          <w:tcPr>
            <w:tcW w:w="0" w:type="auto"/>
            <w:gridSpan w:val="2"/>
            <w:vMerge/>
            <w:tcBorders>
              <w:top w:val="nil"/>
              <w:left w:val="single" w:sz="3" w:space="0" w:color="000000"/>
              <w:bottom w:val="nil"/>
              <w:right w:val="nil"/>
            </w:tcBorders>
          </w:tcPr>
          <w:p w14:paraId="5AE8F551" w14:textId="77777777" w:rsidR="00541219" w:rsidRDefault="00541219">
            <w:pPr>
              <w:spacing w:after="160"/>
              <w:ind w:left="0" w:firstLine="0"/>
            </w:pPr>
          </w:p>
        </w:tc>
      </w:tr>
      <w:tr w:rsidR="00541219" w14:paraId="72312269" w14:textId="77777777">
        <w:trPr>
          <w:trHeight w:val="564"/>
        </w:trPr>
        <w:tc>
          <w:tcPr>
            <w:tcW w:w="5344" w:type="dxa"/>
            <w:tcBorders>
              <w:top w:val="single" w:sz="3" w:space="0" w:color="000000"/>
              <w:left w:val="single" w:sz="3" w:space="0" w:color="000000"/>
              <w:bottom w:val="single" w:sz="3" w:space="0" w:color="000000"/>
              <w:right w:val="single" w:sz="3" w:space="0" w:color="000000"/>
            </w:tcBorders>
          </w:tcPr>
          <w:p w14:paraId="55E915AE" w14:textId="77777777" w:rsidR="00541219" w:rsidRDefault="00000000">
            <w:pPr>
              <w:spacing w:after="0"/>
              <w:ind w:left="0" w:right="10" w:firstLine="0"/>
            </w:pPr>
            <w:r>
              <w:rPr>
                <w:sz w:val="8"/>
              </w:rPr>
              <w:t xml:space="preserve">196. No caso dos contratos de concessão de distribuição de energia elétrica, a Parcela B é construída somente nas revisões tarifárias periódicas, por meio da metodologia concernente24, e transformada em tarifas com o mercado do momento (Mercado de Referência da revisão tarifária periódica). A tarifa resultante (Fio B) é reajustada nos demais anos pelo índice de IVI (IPCA para contratos novos, </w:t>
            </w:r>
            <w:proofErr w:type="spellStart"/>
            <w:r>
              <w:rPr>
                <w:sz w:val="8"/>
              </w:rPr>
              <w:t>IGPm</w:t>
            </w:r>
            <w:proofErr w:type="spellEnd"/>
            <w:r>
              <w:rPr>
                <w:sz w:val="8"/>
              </w:rPr>
              <w:t xml:space="preserve"> para contratos antigos) menos o fator X, e a receita de Parcela B nos reajustes tarifários é obtida pela aplicação da tarifa ao mercado, no caso dos contratos novos, ou pela diferença entre receita verificada e a receita de Parcela A no caso dos contratos antigos. Em ambos os casos, o risco de mercado é assumido pela concessionária nos intervalos entre revisões periódicas.</w:t>
            </w:r>
          </w:p>
        </w:tc>
        <w:tc>
          <w:tcPr>
            <w:tcW w:w="0" w:type="auto"/>
            <w:gridSpan w:val="2"/>
            <w:vMerge/>
            <w:tcBorders>
              <w:top w:val="nil"/>
              <w:left w:val="single" w:sz="3" w:space="0" w:color="000000"/>
              <w:bottom w:val="nil"/>
              <w:right w:val="nil"/>
            </w:tcBorders>
          </w:tcPr>
          <w:p w14:paraId="69F18967" w14:textId="77777777" w:rsidR="00541219" w:rsidRDefault="00541219">
            <w:pPr>
              <w:spacing w:after="160"/>
              <w:ind w:left="0" w:firstLine="0"/>
            </w:pPr>
          </w:p>
        </w:tc>
      </w:tr>
      <w:tr w:rsidR="00541219" w14:paraId="33DF394E"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620208DC" w14:textId="77777777" w:rsidR="00541219" w:rsidRDefault="00000000">
            <w:pPr>
              <w:spacing w:after="0"/>
              <w:ind w:left="0" w:right="3" w:firstLine="0"/>
            </w:pPr>
            <w:r>
              <w:rPr>
                <w:sz w:val="8"/>
              </w:rPr>
              <w:t>197. Percebe-se, portanto, que cada parcela de receita da concessionaria se submete a regimes de regulação diferentes: a Parcela B se submete à regulação pelo preço, enquanto a Parcela A situa-se em modelo com características de regulação pelo custo (com a ressalva que há mecanismos de incentivos para os itens de Parcela A). Na Parcela A, neutraliza-se o risco da distribuidora com variação de mercado sobre valores eficientes/regulatórios, assim como o risco financeiro da variação dos custos eficientes/regulatórios, que será tratado mais adiante.</w:t>
            </w:r>
          </w:p>
        </w:tc>
        <w:tc>
          <w:tcPr>
            <w:tcW w:w="0" w:type="auto"/>
            <w:gridSpan w:val="2"/>
            <w:vMerge/>
            <w:tcBorders>
              <w:top w:val="nil"/>
              <w:left w:val="single" w:sz="3" w:space="0" w:color="000000"/>
              <w:bottom w:val="nil"/>
              <w:right w:val="nil"/>
            </w:tcBorders>
          </w:tcPr>
          <w:p w14:paraId="031ABD5D" w14:textId="77777777" w:rsidR="00541219" w:rsidRDefault="00541219">
            <w:pPr>
              <w:spacing w:after="160"/>
              <w:ind w:left="0" w:firstLine="0"/>
            </w:pPr>
          </w:p>
        </w:tc>
      </w:tr>
      <w:tr w:rsidR="00541219" w14:paraId="0D5E45E9"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15A638BD" w14:textId="77777777" w:rsidR="00541219" w:rsidRDefault="00000000">
            <w:pPr>
              <w:spacing w:after="0"/>
              <w:ind w:left="0" w:firstLine="0"/>
            </w:pPr>
            <w:r>
              <w:rPr>
                <w:sz w:val="8"/>
              </w:rPr>
              <w:t>198. Pela explicação acima depreende-se que o contrato traz risco de variação de mercado à concessionária sobre a receita de Parcela B no interstício entre revisões periódicas, sendo que nas revisões a concessionária é reequilibrada por meio da equação econômica.</w:t>
            </w:r>
          </w:p>
        </w:tc>
        <w:tc>
          <w:tcPr>
            <w:tcW w:w="0" w:type="auto"/>
            <w:gridSpan w:val="2"/>
            <w:vMerge/>
            <w:tcBorders>
              <w:top w:val="nil"/>
              <w:left w:val="single" w:sz="3" w:space="0" w:color="000000"/>
              <w:bottom w:val="nil"/>
              <w:right w:val="nil"/>
            </w:tcBorders>
          </w:tcPr>
          <w:p w14:paraId="24DB5526" w14:textId="77777777" w:rsidR="00541219" w:rsidRDefault="00541219">
            <w:pPr>
              <w:spacing w:after="160"/>
              <w:ind w:left="0" w:firstLine="0"/>
            </w:pPr>
          </w:p>
        </w:tc>
      </w:tr>
      <w:tr w:rsidR="00541219" w14:paraId="7CC749FD"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74ACAA79" w14:textId="77777777" w:rsidR="00541219" w:rsidRDefault="00000000">
            <w:pPr>
              <w:spacing w:after="0"/>
              <w:ind w:left="0" w:firstLine="0"/>
            </w:pPr>
            <w:r>
              <w:rPr>
                <w:sz w:val="8"/>
              </w:rPr>
              <w:t>199. Em resumo, o risco de mercado atualmente é, na prática, alocado da seguinte forma no Contrato de Concessão:</w:t>
            </w:r>
          </w:p>
        </w:tc>
        <w:tc>
          <w:tcPr>
            <w:tcW w:w="0" w:type="auto"/>
            <w:gridSpan w:val="2"/>
            <w:vMerge/>
            <w:tcBorders>
              <w:top w:val="nil"/>
              <w:left w:val="single" w:sz="3" w:space="0" w:color="000000"/>
              <w:bottom w:val="nil"/>
              <w:right w:val="nil"/>
            </w:tcBorders>
          </w:tcPr>
          <w:p w14:paraId="1F14D1F4" w14:textId="77777777" w:rsidR="00541219" w:rsidRDefault="00541219">
            <w:pPr>
              <w:spacing w:after="160"/>
              <w:ind w:left="0" w:firstLine="0"/>
            </w:pPr>
          </w:p>
        </w:tc>
      </w:tr>
    </w:tbl>
    <w:p w14:paraId="046E72A3" w14:textId="77777777" w:rsidR="00541219" w:rsidRDefault="00541219">
      <w:pPr>
        <w:spacing w:after="0"/>
        <w:ind w:left="-1440" w:right="8609" w:firstLine="0"/>
      </w:pPr>
    </w:p>
    <w:tbl>
      <w:tblPr>
        <w:tblStyle w:val="TableGrid"/>
        <w:tblW w:w="10264" w:type="dxa"/>
        <w:tblInd w:w="-688" w:type="dxa"/>
        <w:tblCellMar>
          <w:top w:w="0" w:type="dxa"/>
          <w:left w:w="16" w:type="dxa"/>
          <w:bottom w:w="0" w:type="dxa"/>
          <w:right w:w="17" w:type="dxa"/>
        </w:tblCellMar>
        <w:tblLook w:val="04A0" w:firstRow="1" w:lastRow="0" w:firstColumn="1" w:lastColumn="0" w:noHBand="0" w:noVBand="1"/>
      </w:tblPr>
      <w:tblGrid>
        <w:gridCol w:w="5344"/>
        <w:gridCol w:w="1229"/>
        <w:gridCol w:w="3691"/>
      </w:tblGrid>
      <w:tr w:rsidR="00541219" w14:paraId="0F286440" w14:textId="77777777">
        <w:trPr>
          <w:trHeight w:val="150"/>
        </w:trPr>
        <w:tc>
          <w:tcPr>
            <w:tcW w:w="10264" w:type="dxa"/>
            <w:gridSpan w:val="3"/>
            <w:tcBorders>
              <w:top w:val="single" w:sz="6" w:space="0" w:color="000000"/>
              <w:left w:val="single" w:sz="6" w:space="0" w:color="000000"/>
              <w:bottom w:val="single" w:sz="3" w:space="0" w:color="000000"/>
              <w:right w:val="single" w:sz="6" w:space="0" w:color="000000"/>
            </w:tcBorders>
          </w:tcPr>
          <w:p w14:paraId="1C309748" w14:textId="77777777" w:rsidR="00541219" w:rsidRDefault="00000000">
            <w:pPr>
              <w:spacing w:after="0"/>
              <w:ind w:left="15" w:firstLine="0"/>
              <w:jc w:val="center"/>
            </w:pPr>
            <w:r>
              <w:rPr>
                <w:color w:val="0000FF"/>
                <w:sz w:val="12"/>
              </w:rPr>
              <w:t>CONTRIBUIÇÃO REFERENTE À CONSULTA PÚBLICA Nº 27/2024</w:t>
            </w:r>
          </w:p>
        </w:tc>
      </w:tr>
      <w:tr w:rsidR="00541219" w14:paraId="1571DB20" w14:textId="77777777">
        <w:trPr>
          <w:trHeight w:val="149"/>
        </w:trPr>
        <w:tc>
          <w:tcPr>
            <w:tcW w:w="10264" w:type="dxa"/>
            <w:gridSpan w:val="3"/>
            <w:tcBorders>
              <w:top w:val="single" w:sz="3" w:space="0" w:color="000000"/>
              <w:left w:val="single" w:sz="6" w:space="0" w:color="000000"/>
              <w:bottom w:val="single" w:sz="3" w:space="0" w:color="000000"/>
              <w:right w:val="single" w:sz="6" w:space="0" w:color="000000"/>
            </w:tcBorders>
          </w:tcPr>
          <w:p w14:paraId="1B9A9C7B" w14:textId="77777777" w:rsidR="00541219" w:rsidRDefault="00000000">
            <w:pPr>
              <w:spacing w:after="0"/>
              <w:ind w:left="3" w:firstLine="0"/>
              <w:jc w:val="center"/>
            </w:pPr>
            <w:r>
              <w:rPr>
                <w:color w:val="0000FF"/>
                <w:sz w:val="12"/>
              </w:rPr>
              <w:t>NOME DA INSTITUIÇÃO: CONCEN Conselho de Consumidores da Energisa Mato Grosso do Sul</w:t>
            </w:r>
          </w:p>
        </w:tc>
      </w:tr>
      <w:tr w:rsidR="00541219" w14:paraId="54903F26" w14:textId="77777777">
        <w:trPr>
          <w:trHeight w:val="149"/>
        </w:trPr>
        <w:tc>
          <w:tcPr>
            <w:tcW w:w="10264" w:type="dxa"/>
            <w:gridSpan w:val="3"/>
            <w:tcBorders>
              <w:top w:val="single" w:sz="3" w:space="0" w:color="000000"/>
              <w:left w:val="single" w:sz="6" w:space="0" w:color="000000"/>
              <w:bottom w:val="single" w:sz="3" w:space="0" w:color="000000"/>
              <w:right w:val="single" w:sz="6" w:space="0" w:color="000000"/>
            </w:tcBorders>
          </w:tcPr>
          <w:p w14:paraId="4BF01631" w14:textId="77777777" w:rsidR="00541219" w:rsidRDefault="00000000">
            <w:pPr>
              <w:tabs>
                <w:tab w:val="center" w:pos="629"/>
                <w:tab w:val="center" w:pos="5124"/>
              </w:tabs>
              <w:spacing w:after="0"/>
              <w:ind w:left="0" w:firstLine="0"/>
            </w:pPr>
            <w:r>
              <w:rPr>
                <w:rFonts w:ascii="Calibri" w:eastAsia="Calibri" w:hAnsi="Calibri" w:cs="Calibri"/>
                <w:sz w:val="22"/>
              </w:rPr>
              <w:lastRenderedPageBreak/>
              <w:tab/>
            </w:r>
            <w:r>
              <w:rPr>
                <w:noProof/>
              </w:rPr>
              <w:drawing>
                <wp:inline distT="0" distB="0" distL="0" distR="0" wp14:anchorId="4216C3EC" wp14:editId="7E670488">
                  <wp:extent cx="585216" cy="362712"/>
                  <wp:effectExtent l="0" t="0" r="0" b="0"/>
                  <wp:docPr id="3062" name="Picture 3062"/>
                  <wp:cNvGraphicFramePr/>
                  <a:graphic xmlns:a="http://schemas.openxmlformats.org/drawingml/2006/main">
                    <a:graphicData uri="http://schemas.openxmlformats.org/drawingml/2006/picture">
                      <pic:pic xmlns:pic="http://schemas.openxmlformats.org/drawingml/2006/picture">
                        <pic:nvPicPr>
                          <pic:cNvPr id="3062" name="Picture 3062"/>
                          <pic:cNvPicPr/>
                        </pic:nvPicPr>
                        <pic:blipFill>
                          <a:blip r:embed="rId5"/>
                          <a:stretch>
                            <a:fillRect/>
                          </a:stretch>
                        </pic:blipFill>
                        <pic:spPr>
                          <a:xfrm>
                            <a:off x="0" y="0"/>
                            <a:ext cx="585216" cy="362712"/>
                          </a:xfrm>
                          <a:prstGeom prst="rect">
                            <a:avLst/>
                          </a:prstGeom>
                        </pic:spPr>
                      </pic:pic>
                    </a:graphicData>
                  </a:graphic>
                </wp:inline>
              </w:drawing>
            </w:r>
            <w:r>
              <w:rPr>
                <w:color w:val="0000FF"/>
                <w:sz w:val="12"/>
              </w:rPr>
              <w:tab/>
              <w:t>AGÊNCIA NACIONAL DE ENERGIA ELÉTRICA – ANEEL</w:t>
            </w:r>
          </w:p>
        </w:tc>
      </w:tr>
      <w:tr w:rsidR="00541219" w14:paraId="1881A802" w14:textId="77777777">
        <w:trPr>
          <w:trHeight w:val="178"/>
        </w:trPr>
        <w:tc>
          <w:tcPr>
            <w:tcW w:w="10264" w:type="dxa"/>
            <w:gridSpan w:val="3"/>
            <w:tcBorders>
              <w:top w:val="single" w:sz="3" w:space="0" w:color="000000"/>
              <w:left w:val="single" w:sz="6" w:space="0" w:color="000000"/>
              <w:bottom w:val="single" w:sz="3" w:space="0" w:color="000000"/>
              <w:right w:val="single" w:sz="6" w:space="0" w:color="000000"/>
            </w:tcBorders>
          </w:tcPr>
          <w:p w14:paraId="3CD37D7B" w14:textId="77777777" w:rsidR="00541219" w:rsidRDefault="00000000">
            <w:pPr>
              <w:spacing w:after="0"/>
              <w:ind w:left="13" w:firstLine="0"/>
              <w:jc w:val="center"/>
            </w:pPr>
            <w:r>
              <w:rPr>
                <w:color w:val="0000FF"/>
              </w:rPr>
              <w:t>NOTA TÉCNICA nº 1.056/2024-SCE-SFF-SFT-SMA-STE-STD-STR/ANEEL de 09 de outubro de 2024.</w:t>
            </w:r>
          </w:p>
        </w:tc>
      </w:tr>
      <w:tr w:rsidR="00541219" w14:paraId="2FC454F9" w14:textId="77777777">
        <w:trPr>
          <w:trHeight w:val="194"/>
        </w:trPr>
        <w:tc>
          <w:tcPr>
            <w:tcW w:w="10264" w:type="dxa"/>
            <w:gridSpan w:val="3"/>
            <w:tcBorders>
              <w:top w:val="single" w:sz="3" w:space="0" w:color="000000"/>
              <w:left w:val="single" w:sz="6" w:space="0" w:color="000000"/>
              <w:bottom w:val="single" w:sz="3" w:space="0" w:color="000000"/>
              <w:right w:val="single" w:sz="6" w:space="0" w:color="000000"/>
            </w:tcBorders>
          </w:tcPr>
          <w:p w14:paraId="411723C7" w14:textId="77777777" w:rsidR="00541219" w:rsidRDefault="00000000">
            <w:pPr>
              <w:spacing w:after="0"/>
              <w:ind w:left="1" w:firstLine="0"/>
              <w:jc w:val="center"/>
            </w:pPr>
            <w:r>
              <w:rPr>
                <w:color w:val="0000FF"/>
              </w:rPr>
              <w:t xml:space="preserve">                                                               EMENTA: Obter subsídios para o aprimoramento da minuta de termo aditivo ao contrato de concessão de distribuição de energia elétrica com vistas à prorrogação das concessões.</w:t>
            </w:r>
          </w:p>
        </w:tc>
      </w:tr>
      <w:tr w:rsidR="00541219" w14:paraId="0A984F3D" w14:textId="77777777">
        <w:trPr>
          <w:trHeight w:val="132"/>
        </w:trPr>
        <w:tc>
          <w:tcPr>
            <w:tcW w:w="10264" w:type="dxa"/>
            <w:gridSpan w:val="3"/>
            <w:tcBorders>
              <w:top w:val="single" w:sz="3" w:space="0" w:color="000000"/>
              <w:left w:val="single" w:sz="6" w:space="0" w:color="000000"/>
              <w:bottom w:val="single" w:sz="3" w:space="0" w:color="000000"/>
              <w:right w:val="single" w:sz="6" w:space="0" w:color="000000"/>
            </w:tcBorders>
          </w:tcPr>
          <w:p w14:paraId="19FC9978" w14:textId="77777777" w:rsidR="00541219" w:rsidRDefault="00000000">
            <w:pPr>
              <w:spacing w:after="0"/>
              <w:ind w:left="0" w:firstLine="0"/>
              <w:jc w:val="center"/>
            </w:pPr>
            <w:r>
              <w:rPr>
                <w:color w:val="0000FF"/>
                <w:sz w:val="11"/>
              </w:rPr>
              <w:t>CONTRIBUIÇÕES RECEBIDAS</w:t>
            </w:r>
          </w:p>
        </w:tc>
      </w:tr>
      <w:tr w:rsidR="00541219" w14:paraId="640CEAB7" w14:textId="77777777">
        <w:trPr>
          <w:trHeight w:val="275"/>
        </w:trPr>
        <w:tc>
          <w:tcPr>
            <w:tcW w:w="10264" w:type="dxa"/>
            <w:gridSpan w:val="3"/>
            <w:tcBorders>
              <w:top w:val="single" w:sz="3" w:space="0" w:color="000000"/>
              <w:left w:val="single" w:sz="6" w:space="0" w:color="000000"/>
              <w:bottom w:val="single" w:sz="6" w:space="0" w:color="000000"/>
              <w:right w:val="single" w:sz="6" w:space="0" w:color="000000"/>
            </w:tcBorders>
          </w:tcPr>
          <w:p w14:paraId="102484F2" w14:textId="77777777" w:rsidR="00541219" w:rsidRDefault="00000000">
            <w:pPr>
              <w:spacing w:after="0"/>
              <w:ind w:left="2" w:firstLine="0"/>
            </w:pPr>
            <w:r>
              <w:t>IMPORTANTE: Os comentários e sugestões referentes às contribuições deverão ser fundamentados e justificados, mencionando-se os artigos, parágrafos e incisos a que se referem, devendo ser acompanhados de textos alternativos e substitutivos quando envolverem sugestões de inclusão ou alteração, parcial ou total, de qualquer dispositivo.</w:t>
            </w:r>
          </w:p>
        </w:tc>
      </w:tr>
      <w:tr w:rsidR="00541219" w14:paraId="446E2504" w14:textId="77777777">
        <w:trPr>
          <w:trHeight w:val="213"/>
        </w:trPr>
        <w:tc>
          <w:tcPr>
            <w:tcW w:w="5344" w:type="dxa"/>
            <w:tcBorders>
              <w:top w:val="single" w:sz="6" w:space="0" w:color="000000"/>
              <w:left w:val="single" w:sz="6" w:space="0" w:color="000000"/>
              <w:bottom w:val="double" w:sz="4" w:space="0" w:color="000000"/>
              <w:right w:val="single" w:sz="6" w:space="0" w:color="000000"/>
            </w:tcBorders>
            <w:shd w:val="clear" w:color="auto" w:fill="FF0000"/>
          </w:tcPr>
          <w:p w14:paraId="5E954E2A" w14:textId="77777777" w:rsidR="00541219" w:rsidRDefault="00000000">
            <w:pPr>
              <w:spacing w:after="0"/>
              <w:ind w:left="2" w:firstLine="0"/>
              <w:jc w:val="center"/>
            </w:pPr>
            <w:r>
              <w:rPr>
                <w:color w:val="FFFFFF"/>
                <w:sz w:val="11"/>
              </w:rPr>
              <w:t xml:space="preserve">TEXTO/ANEEL </w:t>
            </w:r>
          </w:p>
        </w:tc>
        <w:tc>
          <w:tcPr>
            <w:tcW w:w="1229" w:type="dxa"/>
            <w:tcBorders>
              <w:top w:val="single" w:sz="6" w:space="0" w:color="000000"/>
              <w:left w:val="single" w:sz="6" w:space="0" w:color="000000"/>
              <w:bottom w:val="single" w:sz="6" w:space="0" w:color="000000"/>
              <w:right w:val="single" w:sz="6" w:space="0" w:color="000000"/>
            </w:tcBorders>
            <w:shd w:val="clear" w:color="auto" w:fill="FF0000"/>
          </w:tcPr>
          <w:p w14:paraId="20E47960" w14:textId="77777777" w:rsidR="00541219" w:rsidRDefault="00000000">
            <w:pPr>
              <w:spacing w:after="0"/>
              <w:ind w:left="73" w:firstLine="0"/>
            </w:pPr>
            <w:r>
              <w:rPr>
                <w:color w:val="FFFFFF"/>
                <w:sz w:val="11"/>
              </w:rPr>
              <w:t>TEXTO/INSTITUIÇÃO</w:t>
            </w:r>
          </w:p>
        </w:tc>
        <w:tc>
          <w:tcPr>
            <w:tcW w:w="3691" w:type="dxa"/>
            <w:tcBorders>
              <w:top w:val="single" w:sz="6" w:space="0" w:color="000000"/>
              <w:left w:val="single" w:sz="6" w:space="0" w:color="000000"/>
              <w:bottom w:val="single" w:sz="6" w:space="0" w:color="000000"/>
              <w:right w:val="single" w:sz="6" w:space="0" w:color="000000"/>
            </w:tcBorders>
            <w:shd w:val="clear" w:color="auto" w:fill="FF0000"/>
          </w:tcPr>
          <w:p w14:paraId="781122BA" w14:textId="77777777" w:rsidR="00541219" w:rsidRDefault="00000000">
            <w:pPr>
              <w:spacing w:after="0"/>
              <w:ind w:left="20" w:firstLine="0"/>
              <w:jc w:val="center"/>
            </w:pPr>
            <w:r>
              <w:rPr>
                <w:color w:val="FFFFFF"/>
                <w:sz w:val="11"/>
              </w:rPr>
              <w:t>JUSTIFICATIVA/INSTITUIÇÃO</w:t>
            </w:r>
          </w:p>
        </w:tc>
      </w:tr>
      <w:tr w:rsidR="00541219" w14:paraId="7AA31814" w14:textId="77777777">
        <w:trPr>
          <w:trHeight w:val="916"/>
        </w:trPr>
        <w:tc>
          <w:tcPr>
            <w:tcW w:w="5344" w:type="dxa"/>
            <w:tcBorders>
              <w:top w:val="double" w:sz="4" w:space="0" w:color="000000"/>
              <w:left w:val="single" w:sz="3" w:space="0" w:color="000000"/>
              <w:bottom w:val="single" w:sz="3" w:space="0" w:color="000000"/>
              <w:right w:val="single" w:sz="3" w:space="0" w:color="000000"/>
            </w:tcBorders>
          </w:tcPr>
          <w:p w14:paraId="508EF693" w14:textId="77777777" w:rsidR="00541219" w:rsidRDefault="00000000">
            <w:pPr>
              <w:spacing w:after="0"/>
              <w:ind w:left="0" w:firstLine="0"/>
            </w:pPr>
            <w:r>
              <w:rPr>
                <w:noProof/>
              </w:rPr>
              <w:drawing>
                <wp:inline distT="0" distB="0" distL="0" distR="0" wp14:anchorId="5125C067" wp14:editId="305317F2">
                  <wp:extent cx="2266188" cy="455676"/>
                  <wp:effectExtent l="0" t="0" r="0" b="0"/>
                  <wp:docPr id="3236" name="Picture 3236"/>
                  <wp:cNvGraphicFramePr/>
                  <a:graphic xmlns:a="http://schemas.openxmlformats.org/drawingml/2006/main">
                    <a:graphicData uri="http://schemas.openxmlformats.org/drawingml/2006/picture">
                      <pic:pic xmlns:pic="http://schemas.openxmlformats.org/drawingml/2006/picture">
                        <pic:nvPicPr>
                          <pic:cNvPr id="3236" name="Picture 3236"/>
                          <pic:cNvPicPr/>
                        </pic:nvPicPr>
                        <pic:blipFill>
                          <a:blip r:embed="rId10"/>
                          <a:stretch>
                            <a:fillRect/>
                          </a:stretch>
                        </pic:blipFill>
                        <pic:spPr>
                          <a:xfrm>
                            <a:off x="0" y="0"/>
                            <a:ext cx="2266188" cy="455676"/>
                          </a:xfrm>
                          <a:prstGeom prst="rect">
                            <a:avLst/>
                          </a:prstGeom>
                        </pic:spPr>
                      </pic:pic>
                    </a:graphicData>
                  </a:graphic>
                </wp:inline>
              </w:drawing>
            </w:r>
          </w:p>
        </w:tc>
        <w:tc>
          <w:tcPr>
            <w:tcW w:w="4920" w:type="dxa"/>
            <w:gridSpan w:val="2"/>
            <w:vMerge w:val="restart"/>
            <w:tcBorders>
              <w:top w:val="single" w:sz="6" w:space="0" w:color="000000"/>
              <w:left w:val="single" w:sz="3" w:space="0" w:color="000000"/>
              <w:bottom w:val="single" w:sz="3" w:space="0" w:color="000000"/>
              <w:right w:val="nil"/>
            </w:tcBorders>
          </w:tcPr>
          <w:p w14:paraId="1796435D" w14:textId="77777777" w:rsidR="00541219" w:rsidRDefault="00541219">
            <w:pPr>
              <w:spacing w:after="160"/>
              <w:ind w:left="0" w:firstLine="0"/>
            </w:pPr>
          </w:p>
        </w:tc>
      </w:tr>
      <w:tr w:rsidR="00541219" w14:paraId="18BE279D"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5DDFBA8A" w14:textId="77777777" w:rsidR="00541219" w:rsidRDefault="00000000">
            <w:pPr>
              <w:spacing w:after="0"/>
              <w:ind w:left="2" w:firstLine="0"/>
            </w:pPr>
            <w:r>
              <w:rPr>
                <w:sz w:val="8"/>
              </w:rPr>
              <w:t>200. De forma a ilustrar os efeitos do risco do mercado, segue o crescimento e a variação do consumo agregado de energia elétrica no país entre 2010 e 2024:</w:t>
            </w:r>
          </w:p>
        </w:tc>
        <w:tc>
          <w:tcPr>
            <w:tcW w:w="0" w:type="auto"/>
            <w:gridSpan w:val="2"/>
            <w:vMerge/>
            <w:tcBorders>
              <w:top w:val="nil"/>
              <w:left w:val="single" w:sz="3" w:space="0" w:color="000000"/>
              <w:bottom w:val="nil"/>
              <w:right w:val="nil"/>
            </w:tcBorders>
          </w:tcPr>
          <w:p w14:paraId="6B0422F6" w14:textId="77777777" w:rsidR="00541219" w:rsidRDefault="00541219">
            <w:pPr>
              <w:spacing w:after="160"/>
              <w:ind w:left="0" w:firstLine="0"/>
            </w:pPr>
          </w:p>
        </w:tc>
      </w:tr>
      <w:tr w:rsidR="00541219" w14:paraId="30B27A0C" w14:textId="77777777">
        <w:trPr>
          <w:trHeight w:val="1774"/>
        </w:trPr>
        <w:tc>
          <w:tcPr>
            <w:tcW w:w="5344" w:type="dxa"/>
            <w:tcBorders>
              <w:top w:val="single" w:sz="3" w:space="0" w:color="000000"/>
              <w:left w:val="single" w:sz="3" w:space="0" w:color="000000"/>
              <w:bottom w:val="single" w:sz="3" w:space="0" w:color="000000"/>
              <w:right w:val="single" w:sz="3" w:space="0" w:color="000000"/>
            </w:tcBorders>
          </w:tcPr>
          <w:p w14:paraId="52026968" w14:textId="77777777" w:rsidR="00541219" w:rsidRDefault="00000000">
            <w:pPr>
              <w:spacing w:after="0"/>
              <w:ind w:left="228" w:firstLine="0"/>
            </w:pPr>
            <w:r>
              <w:rPr>
                <w:noProof/>
              </w:rPr>
              <w:drawing>
                <wp:inline distT="0" distB="0" distL="0" distR="0" wp14:anchorId="7ECA614C" wp14:editId="35039E44">
                  <wp:extent cx="1972056" cy="981456"/>
                  <wp:effectExtent l="0" t="0" r="0" b="0"/>
                  <wp:docPr id="3238" name="Picture 3238"/>
                  <wp:cNvGraphicFramePr/>
                  <a:graphic xmlns:a="http://schemas.openxmlformats.org/drawingml/2006/main">
                    <a:graphicData uri="http://schemas.openxmlformats.org/drawingml/2006/picture">
                      <pic:pic xmlns:pic="http://schemas.openxmlformats.org/drawingml/2006/picture">
                        <pic:nvPicPr>
                          <pic:cNvPr id="3238" name="Picture 3238"/>
                          <pic:cNvPicPr/>
                        </pic:nvPicPr>
                        <pic:blipFill>
                          <a:blip r:embed="rId11"/>
                          <a:stretch>
                            <a:fillRect/>
                          </a:stretch>
                        </pic:blipFill>
                        <pic:spPr>
                          <a:xfrm>
                            <a:off x="0" y="0"/>
                            <a:ext cx="1972056" cy="981456"/>
                          </a:xfrm>
                          <a:prstGeom prst="rect">
                            <a:avLst/>
                          </a:prstGeom>
                        </pic:spPr>
                      </pic:pic>
                    </a:graphicData>
                  </a:graphic>
                </wp:inline>
              </w:drawing>
            </w:r>
          </w:p>
        </w:tc>
        <w:tc>
          <w:tcPr>
            <w:tcW w:w="0" w:type="auto"/>
            <w:gridSpan w:val="2"/>
            <w:vMerge/>
            <w:tcBorders>
              <w:top w:val="nil"/>
              <w:left w:val="single" w:sz="3" w:space="0" w:color="000000"/>
              <w:bottom w:val="nil"/>
              <w:right w:val="nil"/>
            </w:tcBorders>
          </w:tcPr>
          <w:p w14:paraId="41929D89" w14:textId="77777777" w:rsidR="00541219" w:rsidRDefault="00541219">
            <w:pPr>
              <w:spacing w:after="160"/>
              <w:ind w:left="0" w:firstLine="0"/>
            </w:pPr>
          </w:p>
        </w:tc>
      </w:tr>
      <w:tr w:rsidR="00541219" w14:paraId="02EFBA6C"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4A00D9B4" w14:textId="77777777" w:rsidR="00541219" w:rsidRDefault="00000000">
            <w:pPr>
              <w:spacing w:after="0"/>
              <w:ind w:left="2" w:right="13" w:firstLine="0"/>
            </w:pPr>
            <w:r>
              <w:rPr>
                <w:sz w:val="8"/>
              </w:rPr>
              <w:t>201. Observa-se que há períodos de retração do mercado, que provocam perda de receita de Parcela B entre revisões tarifárias, mas que, de forma agregada e ao longo dos anos, tem crescimento positivo. Deve-se atentar, entretanto, que o crescimento de mercado não é homogêneo entre as áreas de concessão. Em concessões com mercado mais maduros, o crescimento de mercado se mostra mais estabilizado.</w:t>
            </w:r>
          </w:p>
        </w:tc>
        <w:tc>
          <w:tcPr>
            <w:tcW w:w="0" w:type="auto"/>
            <w:gridSpan w:val="2"/>
            <w:vMerge/>
            <w:tcBorders>
              <w:top w:val="nil"/>
              <w:left w:val="single" w:sz="3" w:space="0" w:color="000000"/>
              <w:bottom w:val="nil"/>
              <w:right w:val="nil"/>
            </w:tcBorders>
          </w:tcPr>
          <w:p w14:paraId="1DACA2D6" w14:textId="77777777" w:rsidR="00541219" w:rsidRDefault="00541219">
            <w:pPr>
              <w:spacing w:after="160"/>
              <w:ind w:left="0" w:firstLine="0"/>
            </w:pPr>
          </w:p>
        </w:tc>
      </w:tr>
      <w:tr w:rsidR="00541219" w14:paraId="219CE84E"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41CF6A12" w14:textId="77777777" w:rsidR="00541219" w:rsidRDefault="00000000">
            <w:pPr>
              <w:spacing w:after="0"/>
              <w:ind w:left="2" w:right="43" w:firstLine="0"/>
              <w:jc w:val="both"/>
            </w:pPr>
            <w:r>
              <w:rPr>
                <w:sz w:val="8"/>
              </w:rPr>
              <w:t>202. Apesar do prognóstico de eletrificação da economia, principalmente no que se refere ao transporte à propulsão elétrica, as incertezas relacionadas à introdução de novas tecnologias, a eficiência energética, o comportamento do consumidor, as novas tarifas, as mudanças climáticas e fatos do príncipe e casos fortuitos, como pandemias, podem suscitar a discussão sobre se a alocação de risco de mercado de Parcela B ao Poder Concedente acarreta menos custos econômicos à sociedade.</w:t>
            </w:r>
          </w:p>
        </w:tc>
        <w:tc>
          <w:tcPr>
            <w:tcW w:w="0" w:type="auto"/>
            <w:gridSpan w:val="2"/>
            <w:vMerge/>
            <w:tcBorders>
              <w:top w:val="nil"/>
              <w:left w:val="single" w:sz="3" w:space="0" w:color="000000"/>
              <w:bottom w:val="nil"/>
              <w:right w:val="nil"/>
            </w:tcBorders>
          </w:tcPr>
          <w:p w14:paraId="4D250E28" w14:textId="77777777" w:rsidR="00541219" w:rsidRDefault="00541219">
            <w:pPr>
              <w:spacing w:after="160"/>
              <w:ind w:left="0" w:firstLine="0"/>
            </w:pPr>
          </w:p>
        </w:tc>
      </w:tr>
      <w:tr w:rsidR="00541219" w14:paraId="799FBB07" w14:textId="77777777">
        <w:trPr>
          <w:trHeight w:val="470"/>
        </w:trPr>
        <w:tc>
          <w:tcPr>
            <w:tcW w:w="5344" w:type="dxa"/>
            <w:tcBorders>
              <w:top w:val="single" w:sz="3" w:space="0" w:color="000000"/>
              <w:left w:val="single" w:sz="3" w:space="0" w:color="000000"/>
              <w:bottom w:val="single" w:sz="3" w:space="0" w:color="000000"/>
              <w:right w:val="single" w:sz="3" w:space="0" w:color="000000"/>
            </w:tcBorders>
          </w:tcPr>
          <w:p w14:paraId="1B88AEA9" w14:textId="77777777" w:rsidR="00541219" w:rsidRDefault="00000000">
            <w:pPr>
              <w:spacing w:after="0"/>
              <w:ind w:left="2" w:right="18" w:firstLine="0"/>
            </w:pPr>
            <w:r>
              <w:rPr>
                <w:sz w:val="8"/>
              </w:rPr>
              <w:t>203. Isso porque muitos desses eventos não são gerenciáveis pela concessionária ou gerenciáveis apenas parcialmente, de modo que a alocação desse risco à concessionária deve ser ponderada pelo fato de que, em regra, quanto maior o risco, maior o custo de capital das concessionárias, o que reflete em maior tarifa (por meio do WACC). Aponta-se ainda que muitos desses eventos são em alguma medida gerenciáveis pelo poder público, tendo em vista as extensas prerrogativas e ferramentas de gestão pública para lidar com questões que afetam a coletividade como um todo.</w:t>
            </w:r>
          </w:p>
        </w:tc>
        <w:tc>
          <w:tcPr>
            <w:tcW w:w="0" w:type="auto"/>
            <w:gridSpan w:val="2"/>
            <w:vMerge/>
            <w:tcBorders>
              <w:top w:val="nil"/>
              <w:left w:val="single" w:sz="3" w:space="0" w:color="000000"/>
              <w:bottom w:val="nil"/>
              <w:right w:val="nil"/>
            </w:tcBorders>
          </w:tcPr>
          <w:p w14:paraId="65A15751" w14:textId="77777777" w:rsidR="00541219" w:rsidRDefault="00541219">
            <w:pPr>
              <w:spacing w:after="160"/>
              <w:ind w:left="0" w:firstLine="0"/>
            </w:pPr>
          </w:p>
        </w:tc>
      </w:tr>
      <w:tr w:rsidR="00541219" w14:paraId="0FA372D5"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7FD6FE5D" w14:textId="77777777" w:rsidR="00541219" w:rsidRDefault="00000000">
            <w:pPr>
              <w:spacing w:after="0"/>
              <w:ind w:left="2" w:firstLine="0"/>
            </w:pPr>
            <w:r>
              <w:rPr>
                <w:sz w:val="8"/>
              </w:rPr>
              <w:t>204. A manutenção do risco de mercado de Parcela B à concessionária nesse cenário de incertezas com a transformação do setor de distribuição de energia elétrica, diante de um contrato de concessão de duração de 30 anos, pode acarretar comportamento oportunístico, caso sejam pleiteadas por algumas concessionárias neutralizações pontuais de perda de receita e, de forma diferente, o ganho de receita nos momentos de crescimento de mercado não ser compartilhado com os consumidores (no período entre revisões).</w:t>
            </w:r>
          </w:p>
        </w:tc>
        <w:tc>
          <w:tcPr>
            <w:tcW w:w="0" w:type="auto"/>
            <w:gridSpan w:val="2"/>
            <w:vMerge/>
            <w:tcBorders>
              <w:top w:val="nil"/>
              <w:left w:val="single" w:sz="3" w:space="0" w:color="000000"/>
              <w:bottom w:val="nil"/>
              <w:right w:val="nil"/>
            </w:tcBorders>
          </w:tcPr>
          <w:p w14:paraId="75E93BAE" w14:textId="77777777" w:rsidR="00541219" w:rsidRDefault="00541219">
            <w:pPr>
              <w:spacing w:after="160"/>
              <w:ind w:left="0" w:firstLine="0"/>
            </w:pPr>
          </w:p>
        </w:tc>
      </w:tr>
      <w:tr w:rsidR="00541219" w14:paraId="17E4D763" w14:textId="77777777">
        <w:trPr>
          <w:trHeight w:val="470"/>
        </w:trPr>
        <w:tc>
          <w:tcPr>
            <w:tcW w:w="5344" w:type="dxa"/>
            <w:tcBorders>
              <w:top w:val="single" w:sz="3" w:space="0" w:color="000000"/>
              <w:left w:val="single" w:sz="3" w:space="0" w:color="000000"/>
              <w:bottom w:val="single" w:sz="3" w:space="0" w:color="000000"/>
              <w:right w:val="single" w:sz="3" w:space="0" w:color="000000"/>
            </w:tcBorders>
          </w:tcPr>
          <w:p w14:paraId="0C790928" w14:textId="77777777" w:rsidR="00541219" w:rsidRDefault="00000000">
            <w:pPr>
              <w:spacing w:after="0"/>
              <w:ind w:left="2" w:right="5" w:firstLine="0"/>
            </w:pPr>
            <w:r>
              <w:rPr>
                <w:sz w:val="8"/>
              </w:rPr>
              <w:t>205. Por outro lado, deve-se lembrar do atual modelo onde, ao longo da duração do contrato, ocorrerão entre 5 e 6 revisões periódicas, com oportunidade para reequilibrar a concessão. Esse é um modelo que diminui a exposição ao risco da concessionária e pode continuar sendo o que resulta em menor custo total da concessão para a sociedade. A título de comparação, outros setores de infraestrutura no país não apresentam em contratos de concessão de serviço público a revisão periódica como um recálculo da tarifa contemplando todos os custos para prestação do serviço. No Brasil, esse modelo é mais característico no setor elétrico e em algumas concessões de saneamento.</w:t>
            </w:r>
          </w:p>
        </w:tc>
        <w:tc>
          <w:tcPr>
            <w:tcW w:w="0" w:type="auto"/>
            <w:gridSpan w:val="2"/>
            <w:vMerge/>
            <w:tcBorders>
              <w:top w:val="nil"/>
              <w:left w:val="single" w:sz="3" w:space="0" w:color="000000"/>
              <w:bottom w:val="nil"/>
              <w:right w:val="nil"/>
            </w:tcBorders>
          </w:tcPr>
          <w:p w14:paraId="1A610AB7" w14:textId="77777777" w:rsidR="00541219" w:rsidRDefault="00541219">
            <w:pPr>
              <w:spacing w:after="160"/>
              <w:ind w:left="0" w:firstLine="0"/>
            </w:pPr>
          </w:p>
        </w:tc>
      </w:tr>
      <w:tr w:rsidR="00541219" w14:paraId="0D5D0761"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4127C0B0" w14:textId="77777777" w:rsidR="00541219" w:rsidRDefault="00000000">
            <w:pPr>
              <w:spacing w:after="0"/>
              <w:ind w:left="2" w:right="123" w:firstLine="0"/>
              <w:jc w:val="both"/>
            </w:pPr>
            <w:r>
              <w:rPr>
                <w:sz w:val="8"/>
              </w:rPr>
              <w:t>206. Ainda, a metodologia do Fator X (</w:t>
            </w:r>
            <w:proofErr w:type="spellStart"/>
            <w:r>
              <w:rPr>
                <w:sz w:val="8"/>
              </w:rPr>
              <w:t>Pd</w:t>
            </w:r>
            <w:proofErr w:type="spellEnd"/>
            <w:r>
              <w:rPr>
                <w:sz w:val="8"/>
              </w:rPr>
              <w:t xml:space="preserve">), que se propõe a repartir com os consumidores os ganhos de produtividade da concessionária, diminui também sua exposição ao risco, pois o </w:t>
            </w:r>
            <w:proofErr w:type="spellStart"/>
            <w:r>
              <w:rPr>
                <w:sz w:val="8"/>
              </w:rPr>
              <w:t>Pd</w:t>
            </w:r>
            <w:proofErr w:type="spellEnd"/>
            <w:r>
              <w:rPr>
                <w:sz w:val="8"/>
              </w:rPr>
              <w:t xml:space="preserve"> depende da variação do mercado. Inclusive, a metodologia para o </w:t>
            </w:r>
            <w:proofErr w:type="spellStart"/>
            <w:r>
              <w:rPr>
                <w:sz w:val="8"/>
              </w:rPr>
              <w:t>Pd</w:t>
            </w:r>
            <w:proofErr w:type="spellEnd"/>
            <w:r>
              <w:rPr>
                <w:sz w:val="8"/>
              </w:rPr>
              <w:t xml:space="preserve"> dos contratos antigos e novos é diferente. Para os contratos novos foi reduzido o risco de variação de mercado na medida que se utiliza média móvel da variação anual de mercado de seis anos anteriores ao processo em curso (PRORET 2.5A), atualizando todo ano o fator </w:t>
            </w:r>
            <w:proofErr w:type="spellStart"/>
            <w:r>
              <w:rPr>
                <w:sz w:val="8"/>
              </w:rPr>
              <w:t>Pd</w:t>
            </w:r>
            <w:proofErr w:type="spellEnd"/>
            <w:r>
              <w:rPr>
                <w:sz w:val="8"/>
              </w:rPr>
              <w:t>.</w:t>
            </w:r>
          </w:p>
        </w:tc>
        <w:tc>
          <w:tcPr>
            <w:tcW w:w="0" w:type="auto"/>
            <w:gridSpan w:val="2"/>
            <w:vMerge/>
            <w:tcBorders>
              <w:top w:val="nil"/>
              <w:left w:val="single" w:sz="3" w:space="0" w:color="000000"/>
              <w:bottom w:val="nil"/>
              <w:right w:val="nil"/>
            </w:tcBorders>
          </w:tcPr>
          <w:p w14:paraId="2D1803F8" w14:textId="77777777" w:rsidR="00541219" w:rsidRDefault="00541219">
            <w:pPr>
              <w:spacing w:after="160"/>
              <w:ind w:left="0" w:firstLine="0"/>
            </w:pPr>
          </w:p>
        </w:tc>
      </w:tr>
      <w:tr w:rsidR="00541219" w14:paraId="6038B558"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44F0D640" w14:textId="77777777" w:rsidR="00541219" w:rsidRDefault="00000000">
            <w:pPr>
              <w:spacing w:after="0"/>
              <w:ind w:left="2" w:firstLine="0"/>
            </w:pPr>
            <w:r>
              <w:rPr>
                <w:sz w:val="8"/>
              </w:rPr>
              <w:t>207. De qualquer forma, o Decreto 12.068/24 previu, no inciso XIV do art. 4o, a possibilidade de alteração do regime de regulação econômica:</w:t>
            </w:r>
          </w:p>
        </w:tc>
        <w:tc>
          <w:tcPr>
            <w:tcW w:w="0" w:type="auto"/>
            <w:gridSpan w:val="2"/>
            <w:vMerge/>
            <w:tcBorders>
              <w:top w:val="nil"/>
              <w:left w:val="single" w:sz="3" w:space="0" w:color="000000"/>
              <w:bottom w:val="nil"/>
              <w:right w:val="nil"/>
            </w:tcBorders>
          </w:tcPr>
          <w:p w14:paraId="66583010" w14:textId="77777777" w:rsidR="00541219" w:rsidRDefault="00541219">
            <w:pPr>
              <w:spacing w:after="160"/>
              <w:ind w:left="0" w:firstLine="0"/>
            </w:pPr>
          </w:p>
        </w:tc>
      </w:tr>
      <w:tr w:rsidR="00541219" w14:paraId="15CFF15A"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7A91E182" w14:textId="77777777" w:rsidR="00541219" w:rsidRDefault="00000000">
            <w:pPr>
              <w:spacing w:after="0"/>
              <w:ind w:left="499" w:firstLine="0"/>
            </w:pPr>
            <w:r>
              <w:rPr>
                <w:sz w:val="8"/>
              </w:rPr>
              <w:t xml:space="preserve">     XIV - aprimoramento das condições econômicas, de modo que:</w:t>
            </w:r>
          </w:p>
        </w:tc>
        <w:tc>
          <w:tcPr>
            <w:tcW w:w="0" w:type="auto"/>
            <w:gridSpan w:val="2"/>
            <w:vMerge/>
            <w:tcBorders>
              <w:top w:val="nil"/>
              <w:left w:val="single" w:sz="3" w:space="0" w:color="000000"/>
              <w:bottom w:val="single" w:sz="3" w:space="0" w:color="000000"/>
              <w:right w:val="nil"/>
            </w:tcBorders>
          </w:tcPr>
          <w:p w14:paraId="498531AF" w14:textId="77777777" w:rsidR="00541219" w:rsidRDefault="00541219">
            <w:pPr>
              <w:spacing w:after="160"/>
              <w:ind w:left="0" w:firstLine="0"/>
            </w:pPr>
          </w:p>
        </w:tc>
      </w:tr>
      <w:tr w:rsidR="00541219" w14:paraId="13EFA000" w14:textId="77777777">
        <w:trPr>
          <w:trHeight w:val="883"/>
        </w:trPr>
        <w:tc>
          <w:tcPr>
            <w:tcW w:w="5344" w:type="dxa"/>
            <w:tcBorders>
              <w:top w:val="single" w:sz="3" w:space="0" w:color="000000"/>
              <w:left w:val="single" w:sz="3" w:space="0" w:color="000000"/>
              <w:bottom w:val="single" w:sz="3" w:space="0" w:color="000000"/>
              <w:right w:val="single" w:sz="3" w:space="0" w:color="000000"/>
            </w:tcBorders>
            <w:vAlign w:val="center"/>
          </w:tcPr>
          <w:p w14:paraId="656AB6F3" w14:textId="77777777" w:rsidR="00541219" w:rsidRDefault="00000000">
            <w:pPr>
              <w:spacing w:after="0"/>
              <w:ind w:left="499" w:firstLine="0"/>
            </w:pPr>
            <w:r>
              <w:rPr>
                <w:sz w:val="8"/>
              </w:rPr>
              <w:t xml:space="preserve">          a) se admita flexibilidade normativa para a definição do regime de regulação econômica que melhor se adapte à evolução do segmento de distribuição, facultado à Aneel promover o reconhecimento de custos de capital e de operação entre revisões tarifárias, de modo a favorecer a modernização dos serviços compatível com a prestação do serviço adequado de distribuição, preservado o princípio do equilíbrio econômico-financeiro da concessão;</w:t>
            </w:r>
          </w:p>
        </w:tc>
        <w:tc>
          <w:tcPr>
            <w:tcW w:w="1229" w:type="dxa"/>
            <w:tcBorders>
              <w:top w:val="single" w:sz="3" w:space="0" w:color="000000"/>
              <w:left w:val="single" w:sz="3" w:space="0" w:color="000000"/>
              <w:bottom w:val="single" w:sz="3" w:space="0" w:color="000000"/>
              <w:right w:val="single" w:sz="3" w:space="0" w:color="000000"/>
            </w:tcBorders>
            <w:vAlign w:val="center"/>
          </w:tcPr>
          <w:p w14:paraId="49F97D64" w14:textId="77777777" w:rsidR="00541219" w:rsidRDefault="00000000">
            <w:pPr>
              <w:spacing w:after="0"/>
              <w:ind w:left="8"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034C3B80" w14:textId="77777777" w:rsidR="00541219" w:rsidRDefault="00000000">
            <w:pPr>
              <w:spacing w:after="0" w:line="256" w:lineRule="auto"/>
              <w:ind w:left="8" w:firstLine="0"/>
            </w:pPr>
            <w:r>
              <w:t xml:space="preserve">O reconhecimento de Custos de Capital e Operacionais entre revisões deve sempre privilegiar a modicidade tarifária e a eficiência das atividades regulatórias. </w:t>
            </w:r>
          </w:p>
          <w:p w14:paraId="1E934CA2" w14:textId="6B81E1CB" w:rsidR="00541219" w:rsidRDefault="00000000" w:rsidP="00C824F7">
            <w:pPr>
              <w:spacing w:after="0"/>
              <w:ind w:left="8" w:firstLine="0"/>
              <w:jc w:val="both"/>
            </w:pPr>
            <w:r>
              <w:t>Historicamente, a primeira distribuidora privatizada objeto do contrato 01/1995 (Atual E</w:t>
            </w:r>
            <w:r w:rsidR="00C824F7">
              <w:t>D</w:t>
            </w:r>
            <w:r>
              <w:t>P-ES), tem revisões mais curtas de 3 em 3 anos, e a segunda distribuidora privatizada a Light (Contrato 01/1996) em seu contrato inicial as revisões foram estendidas para 7 em 7 anos, as seguintes têm revisões variando entre 4 e 5 anos, portanto o tema deve ser claramente justificado e aplicado em benefício do menor custo para a sociedade.</w:t>
            </w:r>
          </w:p>
        </w:tc>
      </w:tr>
      <w:tr w:rsidR="00541219" w14:paraId="225837E0" w14:textId="77777777">
        <w:trPr>
          <w:trHeight w:val="470"/>
        </w:trPr>
        <w:tc>
          <w:tcPr>
            <w:tcW w:w="5344" w:type="dxa"/>
            <w:tcBorders>
              <w:top w:val="single" w:sz="3" w:space="0" w:color="000000"/>
              <w:left w:val="single" w:sz="3" w:space="0" w:color="000000"/>
              <w:bottom w:val="single" w:sz="3" w:space="0" w:color="000000"/>
              <w:right w:val="single" w:sz="3" w:space="0" w:color="000000"/>
            </w:tcBorders>
          </w:tcPr>
          <w:p w14:paraId="6AD9CC81" w14:textId="77777777" w:rsidR="00541219" w:rsidRDefault="00000000">
            <w:pPr>
              <w:spacing w:after="0"/>
              <w:ind w:left="2" w:firstLine="0"/>
              <w:jc w:val="both"/>
            </w:pPr>
            <w:r>
              <w:rPr>
                <w:sz w:val="8"/>
              </w:rPr>
              <w:t xml:space="preserve">208. No caso da adoção de um regime de </w:t>
            </w:r>
            <w:proofErr w:type="spellStart"/>
            <w:r>
              <w:rPr>
                <w:sz w:val="8"/>
              </w:rPr>
              <w:t>revenue</w:t>
            </w:r>
            <w:proofErr w:type="spellEnd"/>
            <w:r>
              <w:rPr>
                <w:sz w:val="8"/>
              </w:rPr>
              <w:t xml:space="preserve"> cap “puro” para o setor de distribuição de energia elétrica, o risco de mercado passaria a ser totalmente do </w:t>
            </w:r>
          </w:p>
          <w:p w14:paraId="40876D05" w14:textId="77777777" w:rsidR="00541219" w:rsidRDefault="00000000">
            <w:pPr>
              <w:spacing w:after="0"/>
              <w:ind w:left="2" w:firstLine="0"/>
            </w:pPr>
            <w:r>
              <w:rPr>
                <w:sz w:val="8"/>
              </w:rPr>
              <w:t xml:space="preserve">Poder Concedente. A adoção de ferramentas de </w:t>
            </w:r>
            <w:proofErr w:type="spellStart"/>
            <w:r>
              <w:rPr>
                <w:sz w:val="8"/>
              </w:rPr>
              <w:t>decoupling</w:t>
            </w:r>
            <w:proofErr w:type="spellEnd"/>
            <w:r>
              <w:rPr>
                <w:sz w:val="8"/>
              </w:rPr>
              <w:t xml:space="preserve">, onde se diminui a dependência da receita da concessionária pela quantidade vendida </w:t>
            </w:r>
          </w:p>
          <w:p w14:paraId="266E31E8" w14:textId="77777777" w:rsidR="00541219" w:rsidRDefault="00000000">
            <w:pPr>
              <w:spacing w:after="0"/>
              <w:ind w:left="2" w:firstLine="0"/>
              <w:jc w:val="both"/>
            </w:pPr>
            <w:r>
              <w:rPr>
                <w:sz w:val="8"/>
              </w:rPr>
              <w:t>(mercado), também altera a alocação de risco. Podem ser estabelecidos também regimes híbridos, com diferentes variações no risco. Sendo assim, como a alocação de risco se altera com a alteração do regime de regulação econômica, o contrato deve prever a possibilidade de mutação.</w:t>
            </w:r>
          </w:p>
        </w:tc>
        <w:tc>
          <w:tcPr>
            <w:tcW w:w="4920" w:type="dxa"/>
            <w:gridSpan w:val="2"/>
            <w:vMerge w:val="restart"/>
            <w:tcBorders>
              <w:top w:val="single" w:sz="3" w:space="0" w:color="000000"/>
              <w:left w:val="single" w:sz="3" w:space="0" w:color="000000"/>
              <w:bottom w:val="nil"/>
              <w:right w:val="nil"/>
            </w:tcBorders>
          </w:tcPr>
          <w:p w14:paraId="6C7D69FE" w14:textId="77777777" w:rsidR="00541219" w:rsidRDefault="00541219">
            <w:pPr>
              <w:spacing w:after="160"/>
              <w:ind w:left="0" w:firstLine="0"/>
            </w:pPr>
          </w:p>
        </w:tc>
      </w:tr>
      <w:tr w:rsidR="00541219" w14:paraId="0F0C075E" w14:textId="77777777">
        <w:trPr>
          <w:trHeight w:val="470"/>
        </w:trPr>
        <w:tc>
          <w:tcPr>
            <w:tcW w:w="5344" w:type="dxa"/>
            <w:tcBorders>
              <w:top w:val="single" w:sz="3" w:space="0" w:color="000000"/>
              <w:left w:val="single" w:sz="3" w:space="0" w:color="000000"/>
              <w:bottom w:val="single" w:sz="3" w:space="0" w:color="000000"/>
              <w:right w:val="single" w:sz="3" w:space="0" w:color="000000"/>
            </w:tcBorders>
          </w:tcPr>
          <w:p w14:paraId="2D6456EE" w14:textId="77777777" w:rsidR="00541219" w:rsidRDefault="00000000">
            <w:pPr>
              <w:spacing w:after="0"/>
              <w:ind w:left="2" w:firstLine="0"/>
            </w:pPr>
            <w:r>
              <w:rPr>
                <w:sz w:val="8"/>
              </w:rPr>
              <w:t>209. Os contratos de concessão são, naturalmente, incompletos, pois não há possibilidade de antever as soluções mais adequadas às situações futuras que ocorrerão em sua execução. Assim, a mutação contratual é consequência natural da necessidade de uma de suas finalidades primordiais, que é a prestação adequada do serviço. De acordo com as melhores práticas regulatórias, é desejável que haja esforço no sentido de tornar o contrato permeável a alterações por meio de introdução de cláusulas que prevejam sua posterior modificação, com a predefinição dos procedimentos que conduzirão a mutação.</w:t>
            </w:r>
          </w:p>
        </w:tc>
        <w:tc>
          <w:tcPr>
            <w:tcW w:w="0" w:type="auto"/>
            <w:gridSpan w:val="2"/>
            <w:vMerge/>
            <w:tcBorders>
              <w:top w:val="nil"/>
              <w:left w:val="single" w:sz="3" w:space="0" w:color="000000"/>
              <w:bottom w:val="nil"/>
              <w:right w:val="nil"/>
            </w:tcBorders>
          </w:tcPr>
          <w:p w14:paraId="7D67B808" w14:textId="77777777" w:rsidR="00541219" w:rsidRDefault="00541219">
            <w:pPr>
              <w:spacing w:after="160"/>
              <w:ind w:left="0" w:firstLine="0"/>
            </w:pPr>
          </w:p>
        </w:tc>
      </w:tr>
      <w:tr w:rsidR="00541219" w14:paraId="4B8A12E6"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5B834962" w14:textId="77777777" w:rsidR="00541219" w:rsidRDefault="00000000">
            <w:pPr>
              <w:spacing w:after="0"/>
              <w:ind w:left="2" w:firstLine="0"/>
            </w:pPr>
            <w:r>
              <w:rPr>
                <w:sz w:val="8"/>
              </w:rPr>
              <w:t>210. Uma forma de lidar com a alteração de risco fruto da possibilidade de alteração do modelo econômico é a inclusão da Subcláusula Vigésima Quarta na Cláusula Sexta, abaixo transcrita:</w:t>
            </w:r>
          </w:p>
        </w:tc>
        <w:tc>
          <w:tcPr>
            <w:tcW w:w="0" w:type="auto"/>
            <w:gridSpan w:val="2"/>
            <w:vMerge/>
            <w:tcBorders>
              <w:top w:val="nil"/>
              <w:left w:val="single" w:sz="3" w:space="0" w:color="000000"/>
              <w:bottom w:val="nil"/>
              <w:right w:val="nil"/>
            </w:tcBorders>
          </w:tcPr>
          <w:p w14:paraId="56A32332" w14:textId="77777777" w:rsidR="00541219" w:rsidRDefault="00541219">
            <w:pPr>
              <w:spacing w:after="160"/>
              <w:ind w:left="0" w:firstLine="0"/>
            </w:pPr>
          </w:p>
        </w:tc>
      </w:tr>
      <w:tr w:rsidR="00541219" w14:paraId="40EB992A"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0B03E450" w14:textId="77777777" w:rsidR="00541219" w:rsidRDefault="00000000">
            <w:pPr>
              <w:spacing w:after="0"/>
              <w:ind w:left="499" w:right="4" w:firstLine="0"/>
            </w:pPr>
            <w:r>
              <w:rPr>
                <w:sz w:val="8"/>
              </w:rPr>
              <w:t xml:space="preserve">     Subcláusula Vigésima Quarta: A DISTRIBUIDORA concorda com o disposto no inciso XV do art. 4o do Decreto 12.068, de 20 de junho de 2024, podendo a ANEEL revisar e adaptar o regime de regulação econômica aplicável ao presente contrato, prospectivamente.</w:t>
            </w:r>
          </w:p>
        </w:tc>
        <w:tc>
          <w:tcPr>
            <w:tcW w:w="0" w:type="auto"/>
            <w:gridSpan w:val="2"/>
            <w:vMerge/>
            <w:tcBorders>
              <w:top w:val="nil"/>
              <w:left w:val="single" w:sz="3" w:space="0" w:color="000000"/>
              <w:bottom w:val="nil"/>
              <w:right w:val="nil"/>
            </w:tcBorders>
          </w:tcPr>
          <w:p w14:paraId="2F5A93FA" w14:textId="77777777" w:rsidR="00541219" w:rsidRDefault="00541219">
            <w:pPr>
              <w:spacing w:after="160"/>
              <w:ind w:left="0" w:firstLine="0"/>
            </w:pPr>
          </w:p>
        </w:tc>
      </w:tr>
      <w:tr w:rsidR="00541219" w14:paraId="7A877990" w14:textId="77777777">
        <w:trPr>
          <w:trHeight w:val="470"/>
        </w:trPr>
        <w:tc>
          <w:tcPr>
            <w:tcW w:w="5344" w:type="dxa"/>
            <w:tcBorders>
              <w:top w:val="single" w:sz="3" w:space="0" w:color="000000"/>
              <w:left w:val="single" w:sz="3" w:space="0" w:color="000000"/>
              <w:bottom w:val="single" w:sz="3" w:space="0" w:color="000000"/>
              <w:right w:val="single" w:sz="3" w:space="0" w:color="000000"/>
            </w:tcBorders>
          </w:tcPr>
          <w:p w14:paraId="295FB4B4" w14:textId="77777777" w:rsidR="00541219" w:rsidRDefault="00000000">
            <w:pPr>
              <w:spacing w:after="0"/>
              <w:ind w:left="499" w:firstLine="0"/>
            </w:pPr>
            <w:r>
              <w:rPr>
                <w:sz w:val="8"/>
              </w:rPr>
              <w:t xml:space="preserve">     Parágrafo primeiro. A revisão do regime de regulação econômica considerará aspectos como: </w:t>
            </w:r>
          </w:p>
          <w:p w14:paraId="57A42C10" w14:textId="77777777" w:rsidR="00541219" w:rsidRDefault="00000000">
            <w:pPr>
              <w:numPr>
                <w:ilvl w:val="0"/>
                <w:numId w:val="2"/>
              </w:numPr>
              <w:spacing w:after="0"/>
              <w:ind w:hanging="130"/>
            </w:pPr>
            <w:r>
              <w:rPr>
                <w:sz w:val="8"/>
              </w:rPr>
              <w:t xml:space="preserve">mudanças tecnológicas e inovações no setor de distribuição de energia elétrica; </w:t>
            </w:r>
          </w:p>
          <w:p w14:paraId="503B5760" w14:textId="77777777" w:rsidR="00541219" w:rsidRDefault="00000000">
            <w:pPr>
              <w:numPr>
                <w:ilvl w:val="0"/>
                <w:numId w:val="2"/>
              </w:numPr>
              <w:spacing w:after="0"/>
              <w:ind w:hanging="130"/>
            </w:pPr>
            <w:r>
              <w:rPr>
                <w:sz w:val="8"/>
              </w:rPr>
              <w:t xml:space="preserve">alterações na dinâmica de mercado e estrutura competitiva; </w:t>
            </w:r>
          </w:p>
          <w:p w14:paraId="0F93D77E" w14:textId="77777777" w:rsidR="00541219" w:rsidRDefault="00000000">
            <w:pPr>
              <w:numPr>
                <w:ilvl w:val="0"/>
                <w:numId w:val="2"/>
              </w:numPr>
              <w:spacing w:after="0"/>
              <w:ind w:hanging="130"/>
            </w:pPr>
            <w:r>
              <w:rPr>
                <w:sz w:val="8"/>
              </w:rPr>
              <w:t xml:space="preserve">evoluções nas melhores práticas regulatórias; e </w:t>
            </w:r>
          </w:p>
          <w:p w14:paraId="35BEB98B" w14:textId="77777777" w:rsidR="00541219" w:rsidRDefault="00000000">
            <w:pPr>
              <w:numPr>
                <w:ilvl w:val="0"/>
                <w:numId w:val="2"/>
              </w:numPr>
              <w:spacing w:after="0"/>
              <w:ind w:hanging="130"/>
            </w:pPr>
            <w:r>
              <w:rPr>
                <w:sz w:val="8"/>
              </w:rPr>
              <w:t>necessidades de adequação aos objetivos de sustentabilidade e eficiência energética.</w:t>
            </w:r>
          </w:p>
        </w:tc>
        <w:tc>
          <w:tcPr>
            <w:tcW w:w="0" w:type="auto"/>
            <w:gridSpan w:val="2"/>
            <w:vMerge/>
            <w:tcBorders>
              <w:top w:val="nil"/>
              <w:left w:val="single" w:sz="3" w:space="0" w:color="000000"/>
              <w:bottom w:val="nil"/>
              <w:right w:val="nil"/>
            </w:tcBorders>
          </w:tcPr>
          <w:p w14:paraId="70E0C8E2" w14:textId="77777777" w:rsidR="00541219" w:rsidRDefault="00541219">
            <w:pPr>
              <w:spacing w:after="160"/>
              <w:ind w:left="0" w:firstLine="0"/>
            </w:pPr>
          </w:p>
        </w:tc>
      </w:tr>
      <w:tr w:rsidR="00541219" w14:paraId="33A5D26A"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3A4F8612" w14:textId="77777777" w:rsidR="00541219" w:rsidRDefault="00000000">
            <w:pPr>
              <w:spacing w:after="0"/>
              <w:ind w:left="499" w:firstLine="0"/>
            </w:pPr>
            <w:r>
              <w:rPr>
                <w:sz w:val="8"/>
              </w:rPr>
              <w:t xml:space="preserve">     Parágrafo segundo. Qualquer alteração no regime de regulação econômica será precedida do devido rito regulatório, conforme os procedimentos estabelecidos pela ANEEL.</w:t>
            </w:r>
          </w:p>
        </w:tc>
        <w:tc>
          <w:tcPr>
            <w:tcW w:w="0" w:type="auto"/>
            <w:gridSpan w:val="2"/>
            <w:vMerge/>
            <w:tcBorders>
              <w:top w:val="nil"/>
              <w:left w:val="single" w:sz="3" w:space="0" w:color="000000"/>
              <w:bottom w:val="nil"/>
              <w:right w:val="nil"/>
            </w:tcBorders>
          </w:tcPr>
          <w:p w14:paraId="17D724A7" w14:textId="77777777" w:rsidR="00541219" w:rsidRDefault="00541219">
            <w:pPr>
              <w:spacing w:after="160"/>
              <w:ind w:left="0" w:firstLine="0"/>
            </w:pPr>
          </w:p>
        </w:tc>
      </w:tr>
      <w:tr w:rsidR="00541219" w14:paraId="41F40608"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7B860BBD" w14:textId="77777777" w:rsidR="00541219" w:rsidRDefault="00000000">
            <w:pPr>
              <w:spacing w:after="0"/>
              <w:ind w:left="2" w:firstLine="0"/>
            </w:pPr>
            <w:r>
              <w:rPr>
                <w:sz w:val="8"/>
              </w:rPr>
              <w:t>211. Como o Decreto 12.068/24 traz que o contrato de concessão deve ser flexível quanto ao modelo econômico, entende-se que deve haver essa concordância por parte da distribuidora, e fazer a menção a essa subcláusula na alocação de risco de mercado sobre a Parcela B dá tratamento à alteração de risco devido à mudança de modelo econômico.</w:t>
            </w:r>
          </w:p>
        </w:tc>
        <w:tc>
          <w:tcPr>
            <w:tcW w:w="0" w:type="auto"/>
            <w:gridSpan w:val="2"/>
            <w:vMerge/>
            <w:tcBorders>
              <w:top w:val="nil"/>
              <w:left w:val="single" w:sz="3" w:space="0" w:color="000000"/>
              <w:bottom w:val="nil"/>
              <w:right w:val="nil"/>
            </w:tcBorders>
          </w:tcPr>
          <w:p w14:paraId="607D4CB1" w14:textId="77777777" w:rsidR="00541219" w:rsidRDefault="00541219">
            <w:pPr>
              <w:spacing w:after="160"/>
              <w:ind w:left="0" w:firstLine="0"/>
            </w:pPr>
          </w:p>
        </w:tc>
      </w:tr>
      <w:tr w:rsidR="00541219" w14:paraId="0466B0CD"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499831AE" w14:textId="77777777" w:rsidR="00541219" w:rsidRDefault="00000000">
            <w:pPr>
              <w:spacing w:after="0"/>
              <w:ind w:left="499" w:firstLine="0"/>
            </w:pPr>
            <w:r>
              <w:rPr>
                <w:sz w:val="8"/>
              </w:rPr>
              <w:t xml:space="preserve">     (continuação)</w:t>
            </w:r>
          </w:p>
          <w:p w14:paraId="6EB6B2B4" w14:textId="77777777" w:rsidR="00541219" w:rsidRDefault="00000000">
            <w:pPr>
              <w:spacing w:after="0"/>
              <w:ind w:left="499" w:firstLine="0"/>
            </w:pPr>
            <w:r>
              <w:rPr>
                <w:sz w:val="8"/>
              </w:rPr>
              <w:t xml:space="preserve">     II – </w:t>
            </w:r>
            <w:proofErr w:type="gramStart"/>
            <w:r>
              <w:rPr>
                <w:sz w:val="8"/>
              </w:rPr>
              <w:t>variação</w:t>
            </w:r>
            <w:proofErr w:type="gramEnd"/>
            <w:r>
              <w:rPr>
                <w:sz w:val="8"/>
              </w:rPr>
              <w:t xml:space="preserve"> nos custos de conexão e de uso das instalações de transmissão e/ou distribuição de energia elétrica e de compra de energia em relação aos custos eficientes ou regulatórios;</w:t>
            </w:r>
          </w:p>
        </w:tc>
        <w:tc>
          <w:tcPr>
            <w:tcW w:w="0" w:type="auto"/>
            <w:gridSpan w:val="2"/>
            <w:vMerge/>
            <w:tcBorders>
              <w:top w:val="nil"/>
              <w:left w:val="single" w:sz="3" w:space="0" w:color="000000"/>
              <w:bottom w:val="nil"/>
              <w:right w:val="nil"/>
            </w:tcBorders>
          </w:tcPr>
          <w:p w14:paraId="71F2A311" w14:textId="77777777" w:rsidR="00541219" w:rsidRDefault="00541219">
            <w:pPr>
              <w:spacing w:after="160"/>
              <w:ind w:left="0" w:firstLine="0"/>
            </w:pPr>
          </w:p>
        </w:tc>
      </w:tr>
      <w:tr w:rsidR="00541219" w14:paraId="061E8C41"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7299520E" w14:textId="77777777" w:rsidR="00541219" w:rsidRDefault="00000000">
            <w:pPr>
              <w:spacing w:after="0"/>
              <w:ind w:left="2" w:firstLine="0"/>
            </w:pPr>
            <w:r>
              <w:rPr>
                <w:sz w:val="8"/>
              </w:rPr>
              <w:t>212. Atualmente, a CVA - Conta de Compensação de Valores dos itens da Parcela A, disciplinada pela Portaria Interministerial no 25, de 24 de janeiro de 2002, garante a neutralidade de custos incorridos pela distribuidora sobre os itens de Parcela A, desde que sejam custos eficientes ou regulatórios. O risco financeiro sobre os custos reais é alocado à distribuidora.</w:t>
            </w:r>
          </w:p>
        </w:tc>
        <w:tc>
          <w:tcPr>
            <w:tcW w:w="0" w:type="auto"/>
            <w:gridSpan w:val="2"/>
            <w:vMerge/>
            <w:tcBorders>
              <w:top w:val="nil"/>
              <w:left w:val="single" w:sz="3" w:space="0" w:color="000000"/>
              <w:bottom w:val="nil"/>
              <w:right w:val="nil"/>
            </w:tcBorders>
          </w:tcPr>
          <w:p w14:paraId="7EEDDC04" w14:textId="77777777" w:rsidR="00541219" w:rsidRDefault="00541219">
            <w:pPr>
              <w:spacing w:after="160"/>
              <w:ind w:left="0" w:firstLine="0"/>
            </w:pPr>
          </w:p>
        </w:tc>
      </w:tr>
      <w:tr w:rsidR="00541219" w14:paraId="7A9C5D86"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5CF74465" w14:textId="77777777" w:rsidR="00541219" w:rsidRDefault="00000000">
            <w:pPr>
              <w:spacing w:after="0"/>
              <w:ind w:left="499" w:firstLine="0"/>
            </w:pPr>
            <w:r>
              <w:rPr>
                <w:sz w:val="8"/>
              </w:rPr>
              <w:t xml:space="preserve">     (continuação)</w:t>
            </w:r>
          </w:p>
          <w:p w14:paraId="1507CC08" w14:textId="77777777" w:rsidR="00541219" w:rsidRDefault="00000000">
            <w:pPr>
              <w:spacing w:after="0"/>
              <w:ind w:left="499" w:firstLine="0"/>
            </w:pPr>
            <w:r>
              <w:rPr>
                <w:sz w:val="8"/>
              </w:rPr>
              <w:t xml:space="preserve">     III – não prestação adequada do serviço de distribuição, conforme a regulação;</w:t>
            </w:r>
          </w:p>
        </w:tc>
        <w:tc>
          <w:tcPr>
            <w:tcW w:w="0" w:type="auto"/>
            <w:gridSpan w:val="2"/>
            <w:vMerge/>
            <w:tcBorders>
              <w:top w:val="nil"/>
              <w:left w:val="single" w:sz="3" w:space="0" w:color="000000"/>
              <w:bottom w:val="nil"/>
              <w:right w:val="nil"/>
            </w:tcBorders>
          </w:tcPr>
          <w:p w14:paraId="672B139D" w14:textId="77777777" w:rsidR="00541219" w:rsidRDefault="00541219">
            <w:pPr>
              <w:spacing w:after="160"/>
              <w:ind w:left="0" w:firstLine="0"/>
            </w:pPr>
          </w:p>
        </w:tc>
      </w:tr>
      <w:tr w:rsidR="00541219" w14:paraId="4A2B0D72"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5BBCE8AC" w14:textId="77777777" w:rsidR="00541219" w:rsidRDefault="00000000">
            <w:pPr>
              <w:spacing w:after="0"/>
              <w:ind w:left="499" w:firstLine="0"/>
            </w:pPr>
            <w:r>
              <w:rPr>
                <w:sz w:val="8"/>
              </w:rPr>
              <w:t xml:space="preserve">     IV – </w:t>
            </w:r>
            <w:proofErr w:type="gramStart"/>
            <w:r>
              <w:rPr>
                <w:sz w:val="8"/>
              </w:rPr>
              <w:t>surgimento</w:t>
            </w:r>
            <w:proofErr w:type="gramEnd"/>
            <w:r>
              <w:rPr>
                <w:sz w:val="8"/>
              </w:rPr>
              <w:t xml:space="preserve"> de concorrência na prestação de serviços ora caracterizados como monopólio natural, não ensejando ressarcimentos;</w:t>
            </w:r>
          </w:p>
        </w:tc>
        <w:tc>
          <w:tcPr>
            <w:tcW w:w="0" w:type="auto"/>
            <w:gridSpan w:val="2"/>
            <w:vMerge/>
            <w:tcBorders>
              <w:top w:val="nil"/>
              <w:left w:val="single" w:sz="3" w:space="0" w:color="000000"/>
              <w:bottom w:val="nil"/>
              <w:right w:val="nil"/>
            </w:tcBorders>
          </w:tcPr>
          <w:p w14:paraId="7936E639" w14:textId="77777777" w:rsidR="00541219" w:rsidRDefault="00541219">
            <w:pPr>
              <w:spacing w:after="160"/>
              <w:ind w:left="0" w:firstLine="0"/>
            </w:pPr>
          </w:p>
        </w:tc>
      </w:tr>
      <w:tr w:rsidR="00541219" w14:paraId="4C76A50F"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70AFA840" w14:textId="77777777" w:rsidR="00541219" w:rsidRDefault="00000000">
            <w:pPr>
              <w:spacing w:after="0"/>
              <w:ind w:left="499" w:firstLine="0"/>
            </w:pPr>
            <w:r>
              <w:rPr>
                <w:sz w:val="8"/>
              </w:rPr>
              <w:t xml:space="preserve">     V - </w:t>
            </w:r>
            <w:proofErr w:type="gramStart"/>
            <w:r>
              <w:rPr>
                <w:sz w:val="8"/>
              </w:rPr>
              <w:t>de</w:t>
            </w:r>
            <w:proofErr w:type="gramEnd"/>
            <w:r>
              <w:rPr>
                <w:sz w:val="8"/>
              </w:rPr>
              <w:t xml:space="preserve"> estrutura tarifária, autorizada pela ANEEL, inclusive aquela ajustada às realidades da concessão, de acordo com a Subcláusula Vigésima Segunda da Cláusula Sexta, não ensejando em pleitos compensatórios em caso frustração da receita intencionada, ressalvado o que consta na Subcláusula Décima Oitava da Cláusula Sexta;</w:t>
            </w:r>
          </w:p>
        </w:tc>
        <w:tc>
          <w:tcPr>
            <w:tcW w:w="0" w:type="auto"/>
            <w:gridSpan w:val="2"/>
            <w:vMerge/>
            <w:tcBorders>
              <w:top w:val="nil"/>
              <w:left w:val="single" w:sz="3" w:space="0" w:color="000000"/>
              <w:bottom w:val="nil"/>
              <w:right w:val="nil"/>
            </w:tcBorders>
          </w:tcPr>
          <w:p w14:paraId="1DD6974A" w14:textId="77777777" w:rsidR="00541219" w:rsidRDefault="00541219">
            <w:pPr>
              <w:spacing w:after="160"/>
              <w:ind w:left="0" w:firstLine="0"/>
            </w:pPr>
          </w:p>
        </w:tc>
      </w:tr>
      <w:tr w:rsidR="00541219" w14:paraId="135115AA"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7EA70C9C" w14:textId="77777777" w:rsidR="00541219" w:rsidRDefault="00000000">
            <w:pPr>
              <w:spacing w:after="0"/>
              <w:ind w:left="499" w:firstLine="0"/>
            </w:pPr>
            <w:r>
              <w:rPr>
                <w:sz w:val="8"/>
              </w:rPr>
              <w:t xml:space="preserve">     VI - </w:t>
            </w:r>
            <w:proofErr w:type="gramStart"/>
            <w:r>
              <w:rPr>
                <w:sz w:val="8"/>
              </w:rPr>
              <w:t>gestão</w:t>
            </w:r>
            <w:proofErr w:type="gramEnd"/>
            <w:r>
              <w:rPr>
                <w:sz w:val="8"/>
              </w:rPr>
              <w:t xml:space="preserve"> econômico-financeira, técnica e operacional do negócio concedido.</w:t>
            </w:r>
          </w:p>
        </w:tc>
        <w:tc>
          <w:tcPr>
            <w:tcW w:w="0" w:type="auto"/>
            <w:gridSpan w:val="2"/>
            <w:vMerge/>
            <w:tcBorders>
              <w:top w:val="nil"/>
              <w:left w:val="single" w:sz="3" w:space="0" w:color="000000"/>
              <w:bottom w:val="nil"/>
              <w:right w:val="nil"/>
            </w:tcBorders>
          </w:tcPr>
          <w:p w14:paraId="699BA68B" w14:textId="77777777" w:rsidR="00541219" w:rsidRDefault="00541219">
            <w:pPr>
              <w:spacing w:after="160"/>
              <w:ind w:left="0" w:firstLine="0"/>
            </w:pPr>
          </w:p>
        </w:tc>
      </w:tr>
      <w:tr w:rsidR="00541219" w14:paraId="59893DD0"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28B8D534" w14:textId="77777777" w:rsidR="00541219" w:rsidRDefault="00000000">
            <w:pPr>
              <w:spacing w:after="0"/>
              <w:ind w:left="499" w:firstLine="0"/>
            </w:pPr>
            <w:r>
              <w:rPr>
                <w:sz w:val="8"/>
              </w:rPr>
              <w:t xml:space="preserve">     Parágrafo Único – a ANEEL poderá proceder à revisão tarifária extraordinária, conforme subcláusula Décima Sexta da Cláusula Sexta, observando: i) a capacidade de gestão da DISTRIBUIDORA e do Poder Concedente sobre o risco identificado e suas consequências; </w:t>
            </w:r>
            <w:proofErr w:type="spellStart"/>
            <w:r>
              <w:rPr>
                <w:sz w:val="8"/>
              </w:rPr>
              <w:t>ii</w:t>
            </w:r>
            <w:proofErr w:type="spellEnd"/>
            <w:r>
              <w:rPr>
                <w:sz w:val="8"/>
              </w:rPr>
              <w:t xml:space="preserve">) significância do risco materializado em relação a situação econômico-financeira do contrato ao longo de sua duração; e </w:t>
            </w:r>
            <w:proofErr w:type="spellStart"/>
            <w:r>
              <w:rPr>
                <w:sz w:val="8"/>
              </w:rPr>
              <w:t>iii</w:t>
            </w:r>
            <w:proofErr w:type="spellEnd"/>
            <w:r>
              <w:rPr>
                <w:sz w:val="8"/>
              </w:rPr>
              <w:t>) apresentação de ações de prevenção, quando for o caso, e de mitigação do risco materializado por parte da distribuidora.</w:t>
            </w:r>
          </w:p>
        </w:tc>
        <w:tc>
          <w:tcPr>
            <w:tcW w:w="0" w:type="auto"/>
            <w:gridSpan w:val="2"/>
            <w:vMerge/>
            <w:tcBorders>
              <w:top w:val="nil"/>
              <w:left w:val="single" w:sz="3" w:space="0" w:color="000000"/>
              <w:bottom w:val="nil"/>
              <w:right w:val="nil"/>
            </w:tcBorders>
          </w:tcPr>
          <w:p w14:paraId="55D7F971" w14:textId="77777777" w:rsidR="00541219" w:rsidRDefault="00541219">
            <w:pPr>
              <w:spacing w:after="160"/>
              <w:ind w:left="0" w:firstLine="0"/>
            </w:pPr>
          </w:p>
        </w:tc>
      </w:tr>
      <w:tr w:rsidR="00541219" w14:paraId="7DD540D9"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011545A2" w14:textId="77777777" w:rsidR="00541219" w:rsidRDefault="00000000">
            <w:pPr>
              <w:spacing w:after="0"/>
              <w:ind w:left="499" w:right="4" w:firstLine="0"/>
            </w:pPr>
            <w:r>
              <w:rPr>
                <w:sz w:val="8"/>
              </w:rPr>
              <w:t xml:space="preserve">     Subcláusula Segunda: a Concessionária não é responsável pelos seguintes riscos relacionados à Concessão, cuja responsabilidade é do Poder Concedente, nos termos da regulação:</w:t>
            </w:r>
          </w:p>
        </w:tc>
        <w:tc>
          <w:tcPr>
            <w:tcW w:w="0" w:type="auto"/>
            <w:gridSpan w:val="2"/>
            <w:vMerge/>
            <w:tcBorders>
              <w:top w:val="nil"/>
              <w:left w:val="single" w:sz="3" w:space="0" w:color="000000"/>
              <w:bottom w:val="nil"/>
              <w:right w:val="nil"/>
            </w:tcBorders>
          </w:tcPr>
          <w:p w14:paraId="281D0F00" w14:textId="77777777" w:rsidR="00541219" w:rsidRDefault="00541219">
            <w:pPr>
              <w:spacing w:after="160"/>
              <w:ind w:left="0" w:firstLine="0"/>
            </w:pPr>
          </w:p>
        </w:tc>
      </w:tr>
      <w:tr w:rsidR="00541219" w14:paraId="28A41C21"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7925C5F8" w14:textId="77777777" w:rsidR="00541219" w:rsidRDefault="00000000">
            <w:pPr>
              <w:spacing w:after="0"/>
              <w:ind w:left="0" w:right="36" w:firstLine="0"/>
              <w:jc w:val="right"/>
            </w:pPr>
            <w:r>
              <w:rPr>
                <w:sz w:val="8"/>
              </w:rPr>
              <w:t xml:space="preserve">          I – </w:t>
            </w:r>
            <w:proofErr w:type="gramStart"/>
            <w:r>
              <w:rPr>
                <w:sz w:val="8"/>
              </w:rPr>
              <w:t>variação</w:t>
            </w:r>
            <w:proofErr w:type="gramEnd"/>
            <w:r>
              <w:rPr>
                <w:sz w:val="8"/>
              </w:rPr>
              <w:t xml:space="preserve"> nos custos de encargos setoriais, garantidas as neutralidades sobre as receitas conforme Subcláusula Décima Oitava da </w:t>
            </w:r>
          </w:p>
          <w:p w14:paraId="3928AA5D" w14:textId="77777777" w:rsidR="00541219" w:rsidRDefault="00000000">
            <w:pPr>
              <w:spacing w:after="0"/>
              <w:ind w:left="499" w:firstLine="0"/>
            </w:pPr>
            <w:r>
              <w:rPr>
                <w:sz w:val="8"/>
              </w:rPr>
              <w:t>Cláusula Sexta;</w:t>
            </w:r>
          </w:p>
        </w:tc>
        <w:tc>
          <w:tcPr>
            <w:tcW w:w="0" w:type="auto"/>
            <w:gridSpan w:val="2"/>
            <w:vMerge/>
            <w:tcBorders>
              <w:top w:val="nil"/>
              <w:left w:val="single" w:sz="3" w:space="0" w:color="000000"/>
              <w:bottom w:val="nil"/>
              <w:right w:val="nil"/>
            </w:tcBorders>
          </w:tcPr>
          <w:p w14:paraId="681C8195" w14:textId="77777777" w:rsidR="00541219" w:rsidRDefault="00541219">
            <w:pPr>
              <w:spacing w:after="160"/>
              <w:ind w:left="0" w:firstLine="0"/>
            </w:pPr>
          </w:p>
        </w:tc>
      </w:tr>
      <w:tr w:rsidR="00541219" w14:paraId="679EF0E0"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3AD7E027" w14:textId="77777777" w:rsidR="00541219" w:rsidRDefault="00000000">
            <w:pPr>
              <w:spacing w:after="0"/>
              <w:ind w:left="499" w:firstLine="0"/>
            </w:pPr>
            <w:r>
              <w:rPr>
                <w:sz w:val="8"/>
              </w:rPr>
              <w:t xml:space="preserve">          II – </w:t>
            </w:r>
            <w:proofErr w:type="gramStart"/>
            <w:r>
              <w:rPr>
                <w:sz w:val="8"/>
              </w:rPr>
              <w:t>variação</w:t>
            </w:r>
            <w:proofErr w:type="gramEnd"/>
            <w:r>
              <w:rPr>
                <w:sz w:val="8"/>
              </w:rPr>
              <w:t xml:space="preserve"> nos custos eficientes ou regulatórios dos demais itens da Parcela A, garantidas as neutralidades sobre as receitas eficientes ou regulatórias conforme Subcláusula Décima Oitava da Cláusula Sexta;</w:t>
            </w:r>
          </w:p>
        </w:tc>
        <w:tc>
          <w:tcPr>
            <w:tcW w:w="0" w:type="auto"/>
            <w:gridSpan w:val="2"/>
            <w:vMerge/>
            <w:tcBorders>
              <w:top w:val="nil"/>
              <w:left w:val="single" w:sz="3" w:space="0" w:color="000000"/>
              <w:bottom w:val="nil"/>
              <w:right w:val="nil"/>
            </w:tcBorders>
          </w:tcPr>
          <w:p w14:paraId="06BEFA8F" w14:textId="77777777" w:rsidR="00541219" w:rsidRDefault="00541219">
            <w:pPr>
              <w:spacing w:after="160"/>
              <w:ind w:left="0" w:firstLine="0"/>
            </w:pPr>
          </w:p>
        </w:tc>
      </w:tr>
      <w:tr w:rsidR="00541219" w14:paraId="59297DD5"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578BB2AA" w14:textId="77777777" w:rsidR="00541219" w:rsidRDefault="00000000">
            <w:pPr>
              <w:spacing w:after="0"/>
              <w:ind w:left="2" w:firstLine="0"/>
            </w:pPr>
            <w:r>
              <w:rPr>
                <w:sz w:val="8"/>
              </w:rPr>
              <w:t>213. Nos dois incisos anteriores foram tratados os riscos financeiros sobre os custos eficientes/regulatórios de Parcela A além do risco de mercado sobre essas receitas, por meio da CVA e da neutralidade, respectivamente.</w:t>
            </w:r>
          </w:p>
        </w:tc>
        <w:tc>
          <w:tcPr>
            <w:tcW w:w="0" w:type="auto"/>
            <w:gridSpan w:val="2"/>
            <w:vMerge/>
            <w:tcBorders>
              <w:top w:val="nil"/>
              <w:left w:val="single" w:sz="3" w:space="0" w:color="000000"/>
              <w:bottom w:val="nil"/>
              <w:right w:val="nil"/>
            </w:tcBorders>
          </w:tcPr>
          <w:p w14:paraId="2552162D" w14:textId="77777777" w:rsidR="00541219" w:rsidRDefault="00541219">
            <w:pPr>
              <w:spacing w:after="160"/>
              <w:ind w:left="0" w:firstLine="0"/>
            </w:pPr>
          </w:p>
        </w:tc>
      </w:tr>
      <w:tr w:rsidR="00541219" w14:paraId="1A83D0F7"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27CD4B24" w14:textId="77777777" w:rsidR="00541219" w:rsidRDefault="00000000">
            <w:pPr>
              <w:spacing w:after="0"/>
              <w:ind w:left="499" w:firstLine="0"/>
            </w:pPr>
            <w:r>
              <w:rPr>
                <w:sz w:val="8"/>
              </w:rPr>
              <w:t xml:space="preserve">     (Continuação)</w:t>
            </w:r>
          </w:p>
          <w:p w14:paraId="09C87A19" w14:textId="77777777" w:rsidR="00541219" w:rsidRDefault="00000000">
            <w:pPr>
              <w:spacing w:after="0"/>
              <w:ind w:left="499" w:right="140" w:firstLine="0"/>
            </w:pPr>
            <w:r>
              <w:rPr>
                <w:sz w:val="8"/>
              </w:rPr>
              <w:t xml:space="preserve">     III - criação, alteração ou extinção de tributos, encargos legais ou benefícios tarifários pelo Poder Concedente, excetuada a legislação dos tributos sobre renda, preservando o equilíbrio econômico-financeiro do contrato; (continua)</w:t>
            </w:r>
          </w:p>
        </w:tc>
        <w:tc>
          <w:tcPr>
            <w:tcW w:w="0" w:type="auto"/>
            <w:gridSpan w:val="2"/>
            <w:vMerge/>
            <w:tcBorders>
              <w:top w:val="nil"/>
              <w:left w:val="single" w:sz="3" w:space="0" w:color="000000"/>
              <w:bottom w:val="nil"/>
              <w:right w:val="nil"/>
            </w:tcBorders>
          </w:tcPr>
          <w:p w14:paraId="6B00D8A3" w14:textId="77777777" w:rsidR="00541219" w:rsidRDefault="00541219">
            <w:pPr>
              <w:spacing w:after="160"/>
              <w:ind w:left="0" w:firstLine="0"/>
            </w:pPr>
          </w:p>
        </w:tc>
      </w:tr>
      <w:tr w:rsidR="00541219" w14:paraId="59589B1D"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4DF44F00" w14:textId="77777777" w:rsidR="00541219" w:rsidRDefault="00000000">
            <w:pPr>
              <w:spacing w:after="0"/>
              <w:ind w:left="2" w:firstLine="0"/>
            </w:pPr>
            <w:r>
              <w:rPr>
                <w:sz w:val="8"/>
              </w:rPr>
              <w:t>214. Importante esclarecer que a alocação de tais riscos ao Poder Concedente não exime a concessionária do que está sob sua gestão, nem significa que não haja necessidade de comprovação de proporcionalidade das consequências do risco sobre seu equilíbrio econômico-financeiro.</w:t>
            </w:r>
          </w:p>
        </w:tc>
        <w:tc>
          <w:tcPr>
            <w:tcW w:w="0" w:type="auto"/>
            <w:gridSpan w:val="2"/>
            <w:vMerge/>
            <w:tcBorders>
              <w:top w:val="nil"/>
              <w:left w:val="single" w:sz="3" w:space="0" w:color="000000"/>
              <w:bottom w:val="nil"/>
              <w:right w:val="nil"/>
            </w:tcBorders>
          </w:tcPr>
          <w:p w14:paraId="3087807A" w14:textId="77777777" w:rsidR="00541219" w:rsidRDefault="00541219">
            <w:pPr>
              <w:spacing w:after="160"/>
              <w:ind w:left="0" w:firstLine="0"/>
            </w:pPr>
          </w:p>
        </w:tc>
      </w:tr>
      <w:tr w:rsidR="00541219" w14:paraId="315DFB58"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37439CB9" w14:textId="77777777" w:rsidR="00541219" w:rsidRDefault="00000000">
            <w:pPr>
              <w:spacing w:after="0"/>
              <w:ind w:left="2" w:firstLine="0"/>
            </w:pPr>
            <w:r>
              <w:rPr>
                <w:sz w:val="8"/>
              </w:rPr>
              <w:t>215. Atualmente, o contrato traz, na Subcláusula Vigésima Quarta da Cláusula Sexta, o comando para a revisão da tarifa no caso.</w:t>
            </w:r>
          </w:p>
        </w:tc>
        <w:tc>
          <w:tcPr>
            <w:tcW w:w="0" w:type="auto"/>
            <w:gridSpan w:val="2"/>
            <w:vMerge/>
            <w:tcBorders>
              <w:top w:val="nil"/>
              <w:left w:val="single" w:sz="3" w:space="0" w:color="000000"/>
              <w:bottom w:val="nil"/>
              <w:right w:val="nil"/>
            </w:tcBorders>
          </w:tcPr>
          <w:p w14:paraId="37E04258" w14:textId="77777777" w:rsidR="00541219" w:rsidRDefault="00541219">
            <w:pPr>
              <w:spacing w:after="160"/>
              <w:ind w:left="0" w:firstLine="0"/>
            </w:pPr>
          </w:p>
        </w:tc>
      </w:tr>
      <w:tr w:rsidR="00541219" w14:paraId="22EA9FBC"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7D801C7B" w14:textId="77777777" w:rsidR="00541219" w:rsidRDefault="00000000">
            <w:pPr>
              <w:spacing w:after="0"/>
              <w:ind w:left="499" w:firstLine="0"/>
            </w:pPr>
            <w:r>
              <w:rPr>
                <w:sz w:val="8"/>
              </w:rPr>
              <w:t xml:space="preserve">     Subcláusula Vigésima Quarta- Ressalvados os impostos sobre a renda, a criação, alteração ou extinção de quaisquer tributos ou encargos legais, quando comprovado seu impacto, implicará a revisão da tarifa, para mais ou para menos, conforme o caso.</w:t>
            </w:r>
          </w:p>
        </w:tc>
        <w:tc>
          <w:tcPr>
            <w:tcW w:w="0" w:type="auto"/>
            <w:gridSpan w:val="2"/>
            <w:vMerge/>
            <w:tcBorders>
              <w:top w:val="nil"/>
              <w:left w:val="single" w:sz="3" w:space="0" w:color="000000"/>
              <w:bottom w:val="nil"/>
              <w:right w:val="nil"/>
            </w:tcBorders>
          </w:tcPr>
          <w:p w14:paraId="36D19FC2" w14:textId="77777777" w:rsidR="00541219" w:rsidRDefault="00541219">
            <w:pPr>
              <w:spacing w:after="160"/>
              <w:ind w:left="0" w:firstLine="0"/>
            </w:pPr>
          </w:p>
        </w:tc>
      </w:tr>
      <w:tr w:rsidR="00541219" w14:paraId="7B7BC601"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1DFEA300" w14:textId="77777777" w:rsidR="00541219" w:rsidRDefault="00000000">
            <w:pPr>
              <w:spacing w:after="0"/>
              <w:ind w:left="2" w:right="58" w:firstLine="0"/>
              <w:jc w:val="both"/>
            </w:pPr>
            <w:r>
              <w:rPr>
                <w:sz w:val="8"/>
              </w:rPr>
              <w:t xml:space="preserve">216. Propõe-se retirar essa Subcláusula da Cláusula Sexta e alocá-la na cláusula de riscos. Ainda, sugere-se a inclusão da possibilidade de revisão da tarifa por criação, alteração ou extinção de benefícios tarifários na cláusula acima, de acordo com art. 35 da Lei 9.074/95, preservando o equilíbrio </w:t>
            </w:r>
            <w:proofErr w:type="gramStart"/>
            <w:r>
              <w:rPr>
                <w:sz w:val="8"/>
              </w:rPr>
              <w:t>econômico- financeiro</w:t>
            </w:r>
            <w:proofErr w:type="gramEnd"/>
            <w:r>
              <w:rPr>
                <w:sz w:val="8"/>
              </w:rPr>
              <w:t xml:space="preserve"> do contrato, conforme traz o artigo citado:</w:t>
            </w:r>
          </w:p>
        </w:tc>
        <w:tc>
          <w:tcPr>
            <w:tcW w:w="0" w:type="auto"/>
            <w:gridSpan w:val="2"/>
            <w:vMerge/>
            <w:tcBorders>
              <w:top w:val="nil"/>
              <w:left w:val="single" w:sz="3" w:space="0" w:color="000000"/>
              <w:bottom w:val="nil"/>
              <w:right w:val="nil"/>
            </w:tcBorders>
          </w:tcPr>
          <w:p w14:paraId="4CBFF737" w14:textId="77777777" w:rsidR="00541219" w:rsidRDefault="00541219">
            <w:pPr>
              <w:spacing w:after="160"/>
              <w:ind w:left="0" w:firstLine="0"/>
            </w:pPr>
          </w:p>
        </w:tc>
      </w:tr>
      <w:tr w:rsidR="00541219" w14:paraId="636BB6E6"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56680A13" w14:textId="77777777" w:rsidR="00541219" w:rsidRDefault="00000000">
            <w:pPr>
              <w:spacing w:after="0"/>
              <w:ind w:left="2" w:firstLine="0"/>
              <w:jc w:val="both"/>
            </w:pPr>
            <w:r>
              <w:rPr>
                <w:sz w:val="8"/>
              </w:rPr>
              <w:t xml:space="preserve">     Art. 35. A estipulação de novos benefícios tarifários pelo poder concedente, fica condicionada à previsão, em lei, da origem dos recursos ou da simultânea revisão da estrutura tarifária do concessionário ou permissionário, de forma a preservar o equilíbrio econômico-financeiro do contrato.</w:t>
            </w:r>
          </w:p>
        </w:tc>
        <w:tc>
          <w:tcPr>
            <w:tcW w:w="0" w:type="auto"/>
            <w:gridSpan w:val="2"/>
            <w:vMerge/>
            <w:tcBorders>
              <w:top w:val="nil"/>
              <w:left w:val="single" w:sz="3" w:space="0" w:color="000000"/>
              <w:bottom w:val="nil"/>
              <w:right w:val="nil"/>
            </w:tcBorders>
          </w:tcPr>
          <w:p w14:paraId="70576287" w14:textId="77777777" w:rsidR="00541219" w:rsidRDefault="00541219">
            <w:pPr>
              <w:spacing w:after="160"/>
              <w:ind w:left="0" w:firstLine="0"/>
            </w:pPr>
          </w:p>
        </w:tc>
      </w:tr>
      <w:tr w:rsidR="00541219" w14:paraId="61A08F7D"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36547816" w14:textId="77777777" w:rsidR="00541219" w:rsidRDefault="00000000">
            <w:pPr>
              <w:spacing w:after="0"/>
              <w:ind w:left="2" w:right="58" w:firstLine="0"/>
              <w:jc w:val="both"/>
            </w:pPr>
            <w:r>
              <w:rPr>
                <w:sz w:val="8"/>
              </w:rPr>
              <w:lastRenderedPageBreak/>
              <w:t xml:space="preserve">217. Exemplos de eventos com esse tipo de risco foram a publicação da </w:t>
            </w:r>
            <w:proofErr w:type="spellStart"/>
            <w:r>
              <w:rPr>
                <w:sz w:val="8"/>
              </w:rPr>
              <w:t>MPv</w:t>
            </w:r>
            <w:proofErr w:type="spellEnd"/>
            <w:r>
              <w:rPr>
                <w:sz w:val="8"/>
              </w:rPr>
              <w:t xml:space="preserve"> 579/2012, convertida na Lei no 12.783/2013, que dispôs sobre as concessões de geração, transmissão e distribuição de energia elétrica, e a publicação da Lei no 14.385/2022, que disciplinou a devolução de valores de tributos recolhidos a maior pelas distribuidoras.</w:t>
            </w:r>
          </w:p>
        </w:tc>
        <w:tc>
          <w:tcPr>
            <w:tcW w:w="0" w:type="auto"/>
            <w:gridSpan w:val="2"/>
            <w:vMerge/>
            <w:tcBorders>
              <w:top w:val="nil"/>
              <w:left w:val="single" w:sz="3" w:space="0" w:color="000000"/>
              <w:bottom w:val="nil"/>
              <w:right w:val="nil"/>
            </w:tcBorders>
          </w:tcPr>
          <w:p w14:paraId="618FB85C" w14:textId="77777777" w:rsidR="00541219" w:rsidRDefault="00541219">
            <w:pPr>
              <w:spacing w:after="160"/>
              <w:ind w:left="0" w:firstLine="0"/>
            </w:pPr>
          </w:p>
        </w:tc>
      </w:tr>
      <w:tr w:rsidR="00541219" w14:paraId="35740B07"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67ADA817" w14:textId="77777777" w:rsidR="00541219" w:rsidRDefault="00000000">
            <w:pPr>
              <w:spacing w:after="0"/>
              <w:ind w:left="499" w:firstLine="0"/>
            </w:pPr>
            <w:r>
              <w:rPr>
                <w:sz w:val="8"/>
              </w:rPr>
              <w:t xml:space="preserve">     (continuando)</w:t>
            </w:r>
          </w:p>
          <w:p w14:paraId="0C1679F6" w14:textId="77777777" w:rsidR="00541219" w:rsidRDefault="00000000">
            <w:pPr>
              <w:spacing w:after="0"/>
              <w:ind w:left="499" w:right="22" w:firstLine="0"/>
            </w:pPr>
            <w:r>
              <w:rPr>
                <w:sz w:val="8"/>
              </w:rPr>
              <w:t xml:space="preserve">     IV - </w:t>
            </w:r>
            <w:proofErr w:type="gramStart"/>
            <w:r>
              <w:rPr>
                <w:sz w:val="8"/>
              </w:rPr>
              <w:t>decisão</w:t>
            </w:r>
            <w:proofErr w:type="gramEnd"/>
            <w:r>
              <w:rPr>
                <w:sz w:val="8"/>
              </w:rPr>
              <w:t xml:space="preserve"> arbitral, judicial ou administrativa que impeça ou impossibilite a concessionária de cobrar as tarifas homologadas pela Aneel, causando desequilíbrio econômico-financeiro comprovado, exceto nos casos em que a Concessionária tiver dado causa a tal decisão ou não atuou diligentemente sobre a decisão;</w:t>
            </w:r>
          </w:p>
        </w:tc>
        <w:tc>
          <w:tcPr>
            <w:tcW w:w="0" w:type="auto"/>
            <w:gridSpan w:val="2"/>
            <w:vMerge/>
            <w:tcBorders>
              <w:top w:val="nil"/>
              <w:left w:val="single" w:sz="3" w:space="0" w:color="000000"/>
              <w:bottom w:val="nil"/>
              <w:right w:val="nil"/>
            </w:tcBorders>
          </w:tcPr>
          <w:p w14:paraId="555192A8" w14:textId="77777777" w:rsidR="00541219" w:rsidRDefault="00541219">
            <w:pPr>
              <w:spacing w:after="160"/>
              <w:ind w:left="0" w:firstLine="0"/>
            </w:pPr>
          </w:p>
        </w:tc>
      </w:tr>
      <w:tr w:rsidR="00541219" w14:paraId="692C5823"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3FD7D6C5" w14:textId="77777777" w:rsidR="00541219" w:rsidRDefault="00000000">
            <w:pPr>
              <w:spacing w:after="0"/>
              <w:ind w:left="499" w:firstLine="0"/>
            </w:pPr>
            <w:r>
              <w:rPr>
                <w:sz w:val="8"/>
              </w:rPr>
              <w:t xml:space="preserve">     V - </w:t>
            </w:r>
            <w:proofErr w:type="gramStart"/>
            <w:r>
              <w:rPr>
                <w:sz w:val="8"/>
              </w:rPr>
              <w:t>alteração</w:t>
            </w:r>
            <w:proofErr w:type="gramEnd"/>
            <w:r>
              <w:rPr>
                <w:sz w:val="8"/>
              </w:rPr>
              <w:t xml:space="preserve"> unilateral do contrato que afete o seu equilíbrio econômico- financeiro, devidamente comprovado pela DISTRIBUIDORA;</w:t>
            </w:r>
          </w:p>
        </w:tc>
        <w:tc>
          <w:tcPr>
            <w:tcW w:w="0" w:type="auto"/>
            <w:gridSpan w:val="2"/>
            <w:vMerge/>
            <w:tcBorders>
              <w:top w:val="nil"/>
              <w:left w:val="single" w:sz="3" w:space="0" w:color="000000"/>
              <w:bottom w:val="nil"/>
              <w:right w:val="nil"/>
            </w:tcBorders>
          </w:tcPr>
          <w:p w14:paraId="56572B7E" w14:textId="77777777" w:rsidR="00541219" w:rsidRDefault="00541219">
            <w:pPr>
              <w:spacing w:after="160"/>
              <w:ind w:left="0" w:firstLine="0"/>
            </w:pPr>
          </w:p>
        </w:tc>
      </w:tr>
    </w:tbl>
    <w:p w14:paraId="653E2EF9" w14:textId="77777777" w:rsidR="00541219" w:rsidRDefault="00541219">
      <w:pPr>
        <w:spacing w:after="0"/>
        <w:ind w:left="-1440" w:right="8609" w:firstLine="0"/>
      </w:pPr>
    </w:p>
    <w:tbl>
      <w:tblPr>
        <w:tblStyle w:val="TableGrid"/>
        <w:tblW w:w="10264" w:type="dxa"/>
        <w:tblInd w:w="-688" w:type="dxa"/>
        <w:tblCellMar>
          <w:top w:w="0" w:type="dxa"/>
          <w:left w:w="19" w:type="dxa"/>
          <w:bottom w:w="0" w:type="dxa"/>
          <w:right w:w="19" w:type="dxa"/>
        </w:tblCellMar>
        <w:tblLook w:val="04A0" w:firstRow="1" w:lastRow="0" w:firstColumn="1" w:lastColumn="0" w:noHBand="0" w:noVBand="1"/>
      </w:tblPr>
      <w:tblGrid>
        <w:gridCol w:w="5344"/>
        <w:gridCol w:w="1229"/>
        <w:gridCol w:w="3691"/>
      </w:tblGrid>
      <w:tr w:rsidR="00541219" w14:paraId="296651FA" w14:textId="77777777">
        <w:trPr>
          <w:trHeight w:val="150"/>
        </w:trPr>
        <w:tc>
          <w:tcPr>
            <w:tcW w:w="10264" w:type="dxa"/>
            <w:gridSpan w:val="3"/>
            <w:tcBorders>
              <w:top w:val="single" w:sz="6" w:space="0" w:color="000000"/>
              <w:left w:val="single" w:sz="6" w:space="0" w:color="000000"/>
              <w:bottom w:val="single" w:sz="3" w:space="0" w:color="000000"/>
              <w:right w:val="single" w:sz="6" w:space="0" w:color="000000"/>
            </w:tcBorders>
          </w:tcPr>
          <w:p w14:paraId="1D9CF4C1" w14:textId="77777777" w:rsidR="00541219" w:rsidRDefault="00000000">
            <w:pPr>
              <w:spacing w:after="0"/>
              <w:ind w:left="15" w:firstLine="0"/>
              <w:jc w:val="center"/>
            </w:pPr>
            <w:r>
              <w:rPr>
                <w:color w:val="0000FF"/>
                <w:sz w:val="12"/>
              </w:rPr>
              <w:t>CONTRIBUIÇÃO REFERENTE À CONSULTA PÚBLICA Nº 27/2024</w:t>
            </w:r>
          </w:p>
        </w:tc>
      </w:tr>
      <w:tr w:rsidR="00541219" w14:paraId="6C7E8470" w14:textId="77777777">
        <w:trPr>
          <w:trHeight w:val="149"/>
        </w:trPr>
        <w:tc>
          <w:tcPr>
            <w:tcW w:w="10264" w:type="dxa"/>
            <w:gridSpan w:val="3"/>
            <w:tcBorders>
              <w:top w:val="single" w:sz="3" w:space="0" w:color="000000"/>
              <w:left w:val="single" w:sz="6" w:space="0" w:color="000000"/>
              <w:bottom w:val="single" w:sz="3" w:space="0" w:color="000000"/>
              <w:right w:val="single" w:sz="6" w:space="0" w:color="000000"/>
            </w:tcBorders>
          </w:tcPr>
          <w:p w14:paraId="5563B0B2" w14:textId="77777777" w:rsidR="00541219" w:rsidRDefault="00000000">
            <w:pPr>
              <w:spacing w:after="0"/>
              <w:ind w:left="3" w:firstLine="0"/>
              <w:jc w:val="center"/>
            </w:pPr>
            <w:r>
              <w:rPr>
                <w:color w:val="0000FF"/>
                <w:sz w:val="12"/>
              </w:rPr>
              <w:t>NOME DA INSTITUIÇÃO: CONCEN Conselho de Consumidores da Energisa Mato Grosso do Sul</w:t>
            </w:r>
          </w:p>
        </w:tc>
      </w:tr>
      <w:tr w:rsidR="00541219" w14:paraId="7104C4D2" w14:textId="77777777">
        <w:trPr>
          <w:trHeight w:val="149"/>
        </w:trPr>
        <w:tc>
          <w:tcPr>
            <w:tcW w:w="10264" w:type="dxa"/>
            <w:gridSpan w:val="3"/>
            <w:tcBorders>
              <w:top w:val="single" w:sz="3" w:space="0" w:color="000000"/>
              <w:left w:val="single" w:sz="6" w:space="0" w:color="000000"/>
              <w:bottom w:val="single" w:sz="3" w:space="0" w:color="000000"/>
              <w:right w:val="single" w:sz="6" w:space="0" w:color="000000"/>
            </w:tcBorders>
          </w:tcPr>
          <w:p w14:paraId="4CABAC7B" w14:textId="77777777" w:rsidR="00541219" w:rsidRDefault="00000000">
            <w:pPr>
              <w:tabs>
                <w:tab w:val="center" w:pos="626"/>
                <w:tab w:val="center" w:pos="5122"/>
              </w:tabs>
              <w:spacing w:after="0"/>
              <w:ind w:left="0" w:firstLine="0"/>
            </w:pPr>
            <w:r>
              <w:rPr>
                <w:rFonts w:ascii="Calibri" w:eastAsia="Calibri" w:hAnsi="Calibri" w:cs="Calibri"/>
                <w:sz w:val="22"/>
              </w:rPr>
              <w:tab/>
            </w:r>
            <w:r>
              <w:rPr>
                <w:noProof/>
              </w:rPr>
              <w:drawing>
                <wp:inline distT="0" distB="0" distL="0" distR="0" wp14:anchorId="66DB61B4" wp14:editId="09402FC7">
                  <wp:extent cx="585216" cy="362712"/>
                  <wp:effectExtent l="0" t="0" r="0" b="0"/>
                  <wp:docPr id="3313" name="Picture 3313"/>
                  <wp:cNvGraphicFramePr/>
                  <a:graphic xmlns:a="http://schemas.openxmlformats.org/drawingml/2006/main">
                    <a:graphicData uri="http://schemas.openxmlformats.org/drawingml/2006/picture">
                      <pic:pic xmlns:pic="http://schemas.openxmlformats.org/drawingml/2006/picture">
                        <pic:nvPicPr>
                          <pic:cNvPr id="3313" name="Picture 3313"/>
                          <pic:cNvPicPr/>
                        </pic:nvPicPr>
                        <pic:blipFill>
                          <a:blip r:embed="rId5"/>
                          <a:stretch>
                            <a:fillRect/>
                          </a:stretch>
                        </pic:blipFill>
                        <pic:spPr>
                          <a:xfrm>
                            <a:off x="0" y="0"/>
                            <a:ext cx="585216" cy="362712"/>
                          </a:xfrm>
                          <a:prstGeom prst="rect">
                            <a:avLst/>
                          </a:prstGeom>
                        </pic:spPr>
                      </pic:pic>
                    </a:graphicData>
                  </a:graphic>
                </wp:inline>
              </w:drawing>
            </w:r>
            <w:r>
              <w:rPr>
                <w:color w:val="0000FF"/>
                <w:sz w:val="12"/>
              </w:rPr>
              <w:tab/>
              <w:t>AGÊNCIA NACIONAL DE ENERGIA ELÉTRICA – ANEEL</w:t>
            </w:r>
          </w:p>
        </w:tc>
      </w:tr>
      <w:tr w:rsidR="00541219" w14:paraId="0EBD6FCD" w14:textId="77777777">
        <w:trPr>
          <w:trHeight w:val="178"/>
        </w:trPr>
        <w:tc>
          <w:tcPr>
            <w:tcW w:w="10264" w:type="dxa"/>
            <w:gridSpan w:val="3"/>
            <w:tcBorders>
              <w:top w:val="single" w:sz="3" w:space="0" w:color="000000"/>
              <w:left w:val="single" w:sz="6" w:space="0" w:color="000000"/>
              <w:bottom w:val="single" w:sz="3" w:space="0" w:color="000000"/>
              <w:right w:val="single" w:sz="6" w:space="0" w:color="000000"/>
            </w:tcBorders>
          </w:tcPr>
          <w:p w14:paraId="5EFF99D5" w14:textId="77777777" w:rsidR="00541219" w:rsidRDefault="00000000">
            <w:pPr>
              <w:spacing w:after="0"/>
              <w:ind w:left="13" w:firstLine="0"/>
              <w:jc w:val="center"/>
            </w:pPr>
            <w:r>
              <w:rPr>
                <w:color w:val="0000FF"/>
              </w:rPr>
              <w:t>NOTA TÉCNICA nº 1.056/2024-SCE-SFF-SFT-SMA-STE-STD-STR/ANEEL de 09 de outubro de 2024.</w:t>
            </w:r>
          </w:p>
        </w:tc>
      </w:tr>
      <w:tr w:rsidR="00541219" w14:paraId="2B1ADB5B" w14:textId="77777777">
        <w:trPr>
          <w:trHeight w:val="194"/>
        </w:trPr>
        <w:tc>
          <w:tcPr>
            <w:tcW w:w="10264" w:type="dxa"/>
            <w:gridSpan w:val="3"/>
            <w:tcBorders>
              <w:top w:val="single" w:sz="3" w:space="0" w:color="000000"/>
              <w:left w:val="single" w:sz="6" w:space="0" w:color="000000"/>
              <w:bottom w:val="single" w:sz="3" w:space="0" w:color="000000"/>
              <w:right w:val="single" w:sz="6" w:space="0" w:color="000000"/>
            </w:tcBorders>
          </w:tcPr>
          <w:p w14:paraId="1476C2C6" w14:textId="77777777" w:rsidR="00541219" w:rsidRDefault="00000000">
            <w:pPr>
              <w:spacing w:after="0"/>
              <w:ind w:left="1" w:firstLine="0"/>
              <w:jc w:val="center"/>
            </w:pPr>
            <w:r>
              <w:rPr>
                <w:color w:val="0000FF"/>
              </w:rPr>
              <w:t xml:space="preserve">                                                               EMENTA: Obter subsídios para o aprimoramento da minuta de termo aditivo ao contrato de concessão de distribuição de energia elétrica com vistas à prorrogação das concessões.</w:t>
            </w:r>
          </w:p>
        </w:tc>
      </w:tr>
      <w:tr w:rsidR="00541219" w14:paraId="7029C8AF" w14:textId="77777777">
        <w:trPr>
          <w:trHeight w:val="132"/>
        </w:trPr>
        <w:tc>
          <w:tcPr>
            <w:tcW w:w="10264" w:type="dxa"/>
            <w:gridSpan w:val="3"/>
            <w:tcBorders>
              <w:top w:val="single" w:sz="3" w:space="0" w:color="000000"/>
              <w:left w:val="single" w:sz="6" w:space="0" w:color="000000"/>
              <w:bottom w:val="single" w:sz="3" w:space="0" w:color="000000"/>
              <w:right w:val="single" w:sz="6" w:space="0" w:color="000000"/>
            </w:tcBorders>
          </w:tcPr>
          <w:p w14:paraId="405DF917" w14:textId="77777777" w:rsidR="00541219" w:rsidRDefault="00000000">
            <w:pPr>
              <w:spacing w:after="0"/>
              <w:ind w:left="0" w:firstLine="0"/>
              <w:jc w:val="center"/>
            </w:pPr>
            <w:r>
              <w:rPr>
                <w:color w:val="0000FF"/>
                <w:sz w:val="11"/>
              </w:rPr>
              <w:t>CONTRIBUIÇÕES RECEBIDAS</w:t>
            </w:r>
          </w:p>
        </w:tc>
      </w:tr>
      <w:tr w:rsidR="00541219" w14:paraId="6C0E8458" w14:textId="77777777">
        <w:trPr>
          <w:trHeight w:val="275"/>
        </w:trPr>
        <w:tc>
          <w:tcPr>
            <w:tcW w:w="10264" w:type="dxa"/>
            <w:gridSpan w:val="3"/>
            <w:tcBorders>
              <w:top w:val="single" w:sz="3" w:space="0" w:color="000000"/>
              <w:left w:val="single" w:sz="6" w:space="0" w:color="000000"/>
              <w:bottom w:val="single" w:sz="6" w:space="0" w:color="000000"/>
              <w:right w:val="single" w:sz="6" w:space="0" w:color="000000"/>
            </w:tcBorders>
          </w:tcPr>
          <w:p w14:paraId="0E04DFE8" w14:textId="77777777" w:rsidR="00541219" w:rsidRDefault="00000000">
            <w:pPr>
              <w:spacing w:after="0"/>
              <w:ind w:left="0" w:firstLine="0"/>
            </w:pPr>
            <w:r>
              <w:t>IMPORTANTE: Os comentários e sugestões referentes às contribuições deverão ser fundamentados e justificados, mencionando-se os artigos, parágrafos e incisos a que se referem, devendo ser acompanhados de textos alternativos e substitutivos quando envolverem sugestões de inclusão ou alteração, parcial ou total, de qualquer dispositivo.</w:t>
            </w:r>
          </w:p>
        </w:tc>
      </w:tr>
      <w:tr w:rsidR="00541219" w14:paraId="41C31818" w14:textId="77777777">
        <w:trPr>
          <w:trHeight w:val="213"/>
        </w:trPr>
        <w:tc>
          <w:tcPr>
            <w:tcW w:w="5344" w:type="dxa"/>
            <w:tcBorders>
              <w:top w:val="single" w:sz="6" w:space="0" w:color="000000"/>
              <w:left w:val="single" w:sz="6" w:space="0" w:color="000000"/>
              <w:bottom w:val="double" w:sz="4" w:space="0" w:color="000000"/>
              <w:right w:val="single" w:sz="6" w:space="0" w:color="000000"/>
            </w:tcBorders>
            <w:shd w:val="clear" w:color="auto" w:fill="FF0000"/>
          </w:tcPr>
          <w:p w14:paraId="03F82599" w14:textId="77777777" w:rsidR="00541219" w:rsidRDefault="00000000">
            <w:pPr>
              <w:spacing w:after="0"/>
              <w:ind w:left="2" w:firstLine="0"/>
              <w:jc w:val="center"/>
            </w:pPr>
            <w:r>
              <w:rPr>
                <w:color w:val="FFFFFF"/>
                <w:sz w:val="11"/>
              </w:rPr>
              <w:t xml:space="preserve">TEXTO/ANEEL </w:t>
            </w:r>
          </w:p>
        </w:tc>
        <w:tc>
          <w:tcPr>
            <w:tcW w:w="1229" w:type="dxa"/>
            <w:tcBorders>
              <w:top w:val="single" w:sz="6" w:space="0" w:color="000000"/>
              <w:left w:val="single" w:sz="6" w:space="0" w:color="000000"/>
              <w:bottom w:val="single" w:sz="6" w:space="0" w:color="000000"/>
              <w:right w:val="single" w:sz="6" w:space="0" w:color="000000"/>
            </w:tcBorders>
            <w:shd w:val="clear" w:color="auto" w:fill="FF0000"/>
          </w:tcPr>
          <w:p w14:paraId="61C71B59" w14:textId="77777777" w:rsidR="00541219" w:rsidRDefault="00000000">
            <w:pPr>
              <w:spacing w:after="0"/>
              <w:ind w:left="70" w:firstLine="0"/>
            </w:pPr>
            <w:r>
              <w:rPr>
                <w:color w:val="FFFFFF"/>
                <w:sz w:val="11"/>
              </w:rPr>
              <w:t>TEXTO/INSTITUIÇÃO</w:t>
            </w:r>
          </w:p>
        </w:tc>
        <w:tc>
          <w:tcPr>
            <w:tcW w:w="3691" w:type="dxa"/>
            <w:tcBorders>
              <w:top w:val="single" w:sz="6" w:space="0" w:color="000000"/>
              <w:left w:val="single" w:sz="6" w:space="0" w:color="000000"/>
              <w:bottom w:val="single" w:sz="6" w:space="0" w:color="000000"/>
              <w:right w:val="single" w:sz="6" w:space="0" w:color="000000"/>
            </w:tcBorders>
            <w:shd w:val="clear" w:color="auto" w:fill="FF0000"/>
          </w:tcPr>
          <w:p w14:paraId="2E710B16" w14:textId="77777777" w:rsidR="00541219" w:rsidRDefault="00000000">
            <w:pPr>
              <w:spacing w:after="0"/>
              <w:ind w:left="20" w:firstLine="0"/>
              <w:jc w:val="center"/>
            </w:pPr>
            <w:r>
              <w:rPr>
                <w:color w:val="FFFFFF"/>
                <w:sz w:val="11"/>
              </w:rPr>
              <w:t>JUSTIFICATIVA/INSTITUIÇÃO</w:t>
            </w:r>
          </w:p>
        </w:tc>
      </w:tr>
      <w:tr w:rsidR="00541219" w14:paraId="3AA5195E" w14:textId="77777777">
        <w:trPr>
          <w:trHeight w:val="292"/>
        </w:trPr>
        <w:tc>
          <w:tcPr>
            <w:tcW w:w="5344" w:type="dxa"/>
            <w:tcBorders>
              <w:top w:val="double" w:sz="4" w:space="0" w:color="000000"/>
              <w:left w:val="single" w:sz="3" w:space="0" w:color="000000"/>
              <w:bottom w:val="single" w:sz="3" w:space="0" w:color="000000"/>
              <w:right w:val="single" w:sz="3" w:space="0" w:color="000000"/>
            </w:tcBorders>
            <w:vAlign w:val="bottom"/>
          </w:tcPr>
          <w:p w14:paraId="74802709" w14:textId="77777777" w:rsidR="00541219" w:rsidRDefault="00000000">
            <w:pPr>
              <w:spacing w:after="0"/>
              <w:ind w:left="0" w:firstLine="0"/>
            </w:pPr>
            <w:r>
              <w:rPr>
                <w:sz w:val="8"/>
              </w:rPr>
              <w:t>218. Atualmente, o contrato traz, na Subcláusula Décima Sexta da Cláusula Sexta, o comando para a revisão da tarifa no caso de alteração unilateral do contrato.</w:t>
            </w:r>
          </w:p>
        </w:tc>
        <w:tc>
          <w:tcPr>
            <w:tcW w:w="4920" w:type="dxa"/>
            <w:gridSpan w:val="2"/>
            <w:vMerge w:val="restart"/>
            <w:tcBorders>
              <w:top w:val="single" w:sz="6" w:space="0" w:color="000000"/>
              <w:left w:val="single" w:sz="3" w:space="0" w:color="000000"/>
              <w:bottom w:val="single" w:sz="3" w:space="0" w:color="000000"/>
              <w:right w:val="nil"/>
            </w:tcBorders>
          </w:tcPr>
          <w:p w14:paraId="736667B2" w14:textId="77777777" w:rsidR="00541219" w:rsidRDefault="00541219">
            <w:pPr>
              <w:spacing w:after="160"/>
              <w:ind w:left="0" w:firstLine="0"/>
            </w:pPr>
          </w:p>
        </w:tc>
      </w:tr>
      <w:tr w:rsidR="00541219" w14:paraId="3A42D108"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6ACAEECE" w14:textId="77777777" w:rsidR="00541219" w:rsidRDefault="00000000">
            <w:pPr>
              <w:spacing w:after="0"/>
              <w:ind w:left="497" w:firstLine="0"/>
            </w:pPr>
            <w:r>
              <w:rPr>
                <w:sz w:val="8"/>
              </w:rPr>
              <w:t xml:space="preserve">     Subcláusula Décima Sexta - Havendo alteração unilateral do Contrato de Concessão que afete o seu equilíbrio econômico-financeiro, devidamente comprovado pela DISTRIBUIDORA, a ANEEL deverá adotar as medidas necessárias ao seu restabelecimento, com efeito a partir da data da alteração</w:t>
            </w:r>
          </w:p>
        </w:tc>
        <w:tc>
          <w:tcPr>
            <w:tcW w:w="0" w:type="auto"/>
            <w:gridSpan w:val="2"/>
            <w:vMerge/>
            <w:tcBorders>
              <w:top w:val="nil"/>
              <w:left w:val="single" w:sz="3" w:space="0" w:color="000000"/>
              <w:bottom w:val="nil"/>
              <w:right w:val="nil"/>
            </w:tcBorders>
          </w:tcPr>
          <w:p w14:paraId="063855DE" w14:textId="77777777" w:rsidR="00541219" w:rsidRDefault="00541219">
            <w:pPr>
              <w:spacing w:after="160"/>
              <w:ind w:left="0" w:firstLine="0"/>
            </w:pPr>
          </w:p>
        </w:tc>
      </w:tr>
      <w:tr w:rsidR="00541219" w14:paraId="444AA354"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305A0044" w14:textId="77777777" w:rsidR="00541219" w:rsidRDefault="00000000">
            <w:pPr>
              <w:spacing w:after="0"/>
              <w:ind w:left="0" w:firstLine="0"/>
            </w:pPr>
            <w:r>
              <w:rPr>
                <w:sz w:val="8"/>
              </w:rPr>
              <w:t>219. Propõe-se retirar essa Subcláusula da Cláusula sexta e alocá-la na cláusula de riscos.</w:t>
            </w:r>
          </w:p>
        </w:tc>
        <w:tc>
          <w:tcPr>
            <w:tcW w:w="0" w:type="auto"/>
            <w:gridSpan w:val="2"/>
            <w:vMerge/>
            <w:tcBorders>
              <w:top w:val="nil"/>
              <w:left w:val="single" w:sz="3" w:space="0" w:color="000000"/>
              <w:bottom w:val="nil"/>
              <w:right w:val="nil"/>
            </w:tcBorders>
          </w:tcPr>
          <w:p w14:paraId="07C8FAD0" w14:textId="77777777" w:rsidR="00541219" w:rsidRDefault="00541219">
            <w:pPr>
              <w:spacing w:after="160"/>
              <w:ind w:left="0" w:firstLine="0"/>
            </w:pPr>
          </w:p>
        </w:tc>
      </w:tr>
      <w:tr w:rsidR="00541219" w14:paraId="47D5A914"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7E6895F8" w14:textId="77777777" w:rsidR="00541219" w:rsidRDefault="00000000">
            <w:pPr>
              <w:spacing w:after="0"/>
              <w:ind w:left="497" w:firstLine="0"/>
            </w:pPr>
            <w:r>
              <w:rPr>
                <w:sz w:val="8"/>
              </w:rPr>
              <w:t xml:space="preserve">     (continuando)</w:t>
            </w:r>
          </w:p>
          <w:p w14:paraId="0D4E3DBD" w14:textId="77777777" w:rsidR="00541219" w:rsidRDefault="00000000">
            <w:pPr>
              <w:spacing w:after="0"/>
              <w:ind w:left="497" w:firstLine="0"/>
            </w:pPr>
            <w:r>
              <w:rPr>
                <w:sz w:val="8"/>
              </w:rPr>
              <w:t xml:space="preserve">     VI - </w:t>
            </w:r>
            <w:proofErr w:type="gramStart"/>
            <w:r>
              <w:rPr>
                <w:sz w:val="8"/>
              </w:rPr>
              <w:t>indenização</w:t>
            </w:r>
            <w:proofErr w:type="gramEnd"/>
            <w:r>
              <w:rPr>
                <w:sz w:val="8"/>
              </w:rPr>
              <w:t xml:space="preserve"> dos ativos regulatórios não amortizados ao termo do Contrato.</w:t>
            </w:r>
          </w:p>
        </w:tc>
        <w:tc>
          <w:tcPr>
            <w:tcW w:w="0" w:type="auto"/>
            <w:gridSpan w:val="2"/>
            <w:vMerge/>
            <w:tcBorders>
              <w:top w:val="nil"/>
              <w:left w:val="single" w:sz="3" w:space="0" w:color="000000"/>
              <w:bottom w:val="nil"/>
              <w:right w:val="nil"/>
            </w:tcBorders>
          </w:tcPr>
          <w:p w14:paraId="0DA32BD8" w14:textId="77777777" w:rsidR="00541219" w:rsidRDefault="00541219">
            <w:pPr>
              <w:spacing w:after="160"/>
              <w:ind w:left="0" w:firstLine="0"/>
            </w:pPr>
          </w:p>
        </w:tc>
      </w:tr>
      <w:tr w:rsidR="00541219" w14:paraId="04BFDB0A"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6AC4332A" w14:textId="77777777" w:rsidR="00541219" w:rsidRDefault="00000000">
            <w:pPr>
              <w:spacing w:after="0"/>
              <w:ind w:left="497" w:firstLine="0"/>
            </w:pPr>
            <w:r>
              <w:rPr>
                <w:sz w:val="8"/>
              </w:rPr>
              <w:t xml:space="preserve">     Subcláusula Terceira: a ocorrência de eventos de força maior ou caso fortuito será tratada nos termos da regulação, sendo responsabilidade da DISTRIBUIDORA a prestação do serviço adequado nas condições possíveis.</w:t>
            </w:r>
          </w:p>
        </w:tc>
        <w:tc>
          <w:tcPr>
            <w:tcW w:w="0" w:type="auto"/>
            <w:gridSpan w:val="2"/>
            <w:vMerge/>
            <w:tcBorders>
              <w:top w:val="nil"/>
              <w:left w:val="single" w:sz="3" w:space="0" w:color="000000"/>
              <w:bottom w:val="nil"/>
              <w:right w:val="nil"/>
            </w:tcBorders>
          </w:tcPr>
          <w:p w14:paraId="03EBB65E" w14:textId="77777777" w:rsidR="00541219" w:rsidRDefault="00541219">
            <w:pPr>
              <w:spacing w:after="160"/>
              <w:ind w:left="0" w:firstLine="0"/>
            </w:pPr>
          </w:p>
        </w:tc>
      </w:tr>
      <w:tr w:rsidR="00541219" w14:paraId="21A47255"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4F42CC86" w14:textId="77777777" w:rsidR="00541219" w:rsidRDefault="00000000">
            <w:pPr>
              <w:spacing w:after="0"/>
              <w:ind w:left="0" w:firstLine="0"/>
            </w:pPr>
            <w:r>
              <w:rPr>
                <w:sz w:val="8"/>
              </w:rPr>
              <w:t>220. Quanto às hipóteses de casos fortuitos e de força-maior, estes têm baixa probabilidade de</w:t>
            </w:r>
          </w:p>
          <w:p w14:paraId="50AD0BDE" w14:textId="77777777" w:rsidR="00541219" w:rsidRDefault="00000000">
            <w:pPr>
              <w:spacing w:after="0"/>
              <w:ind w:left="0" w:firstLine="0"/>
            </w:pPr>
            <w:r>
              <w:rPr>
                <w:sz w:val="8"/>
              </w:rPr>
              <w:t>ocorrer, mas podem ter impacto grande. A precificação desse risco (prêmio de risco) pela concessionária pode não ser a melhor alternativa, já que aumentaria o custo para a sociedade. Assim, não se deve alocar exclusivamente esse risco à concessionária.</w:t>
            </w:r>
          </w:p>
        </w:tc>
        <w:tc>
          <w:tcPr>
            <w:tcW w:w="0" w:type="auto"/>
            <w:gridSpan w:val="2"/>
            <w:vMerge/>
            <w:tcBorders>
              <w:top w:val="nil"/>
              <w:left w:val="single" w:sz="3" w:space="0" w:color="000000"/>
              <w:bottom w:val="nil"/>
              <w:right w:val="nil"/>
            </w:tcBorders>
          </w:tcPr>
          <w:p w14:paraId="19AD1FAA" w14:textId="77777777" w:rsidR="00541219" w:rsidRDefault="00541219">
            <w:pPr>
              <w:spacing w:after="160"/>
              <w:ind w:left="0" w:firstLine="0"/>
            </w:pPr>
          </w:p>
        </w:tc>
      </w:tr>
      <w:tr w:rsidR="00541219" w14:paraId="23DF1274"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3CC2FBD9" w14:textId="77777777" w:rsidR="00541219" w:rsidRDefault="00000000">
            <w:pPr>
              <w:spacing w:after="0"/>
              <w:ind w:left="0" w:firstLine="0"/>
            </w:pPr>
            <w:r>
              <w:rPr>
                <w:sz w:val="8"/>
              </w:rPr>
              <w:t>221. Por outro lado, muito se evoluiu em termos de regulação do setor nos últimos anos. A regulação já trata da prestação do serviço não somente em condições “ordinárias”, mas também em condições especiais e extremas. Por exemplo, conceitos como “Dia Crítico” ou “</w:t>
            </w:r>
            <w:proofErr w:type="gramStart"/>
            <w:r>
              <w:rPr>
                <w:sz w:val="8"/>
              </w:rPr>
              <w:t>Situação de Emergência</w:t>
            </w:r>
            <w:proofErr w:type="gramEnd"/>
            <w:r>
              <w:rPr>
                <w:sz w:val="8"/>
              </w:rPr>
              <w:t>”, no caso da continuidade do fornecimento, possuem ampla aplicação.</w:t>
            </w:r>
          </w:p>
        </w:tc>
        <w:tc>
          <w:tcPr>
            <w:tcW w:w="0" w:type="auto"/>
            <w:gridSpan w:val="2"/>
            <w:vMerge/>
            <w:tcBorders>
              <w:top w:val="nil"/>
              <w:left w:val="single" w:sz="3" w:space="0" w:color="000000"/>
              <w:bottom w:val="nil"/>
              <w:right w:val="nil"/>
            </w:tcBorders>
          </w:tcPr>
          <w:p w14:paraId="1F448CED" w14:textId="77777777" w:rsidR="00541219" w:rsidRDefault="00541219">
            <w:pPr>
              <w:spacing w:after="160"/>
              <w:ind w:left="0" w:firstLine="0"/>
            </w:pPr>
          </w:p>
        </w:tc>
      </w:tr>
      <w:tr w:rsidR="00541219" w14:paraId="2583C26F"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3FD3A204" w14:textId="77777777" w:rsidR="00541219" w:rsidRDefault="00000000">
            <w:pPr>
              <w:spacing w:after="0"/>
              <w:ind w:left="0" w:right="108" w:firstLine="0"/>
              <w:jc w:val="both"/>
            </w:pPr>
            <w:r>
              <w:rPr>
                <w:sz w:val="8"/>
              </w:rPr>
              <w:t>222. Destaca-se que a referida subcláusula visa trazer clareza para um entendimento já bem estabelecido nas concessões vigentes, de que o serviço deve ser prestado de forma adequada, adaptável à situação prática. O texto que se propõe é uma consolidação deste entendimento, para deixar claro que a regulação (resoluções e ações fiscalizatórias) deverá tratar as situações que eventualmente ocorram de forma imprevisível e inevitável.</w:t>
            </w:r>
          </w:p>
        </w:tc>
        <w:tc>
          <w:tcPr>
            <w:tcW w:w="0" w:type="auto"/>
            <w:gridSpan w:val="2"/>
            <w:vMerge/>
            <w:tcBorders>
              <w:top w:val="nil"/>
              <w:left w:val="single" w:sz="3" w:space="0" w:color="000000"/>
              <w:bottom w:val="nil"/>
              <w:right w:val="nil"/>
            </w:tcBorders>
          </w:tcPr>
          <w:p w14:paraId="34FB3DEF" w14:textId="77777777" w:rsidR="00541219" w:rsidRDefault="00541219">
            <w:pPr>
              <w:spacing w:after="160"/>
              <w:ind w:left="0" w:firstLine="0"/>
            </w:pPr>
          </w:p>
        </w:tc>
      </w:tr>
      <w:tr w:rsidR="00541219" w14:paraId="05AB1F4A"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4AC6D02D" w14:textId="77777777" w:rsidR="00541219" w:rsidRDefault="00000000">
            <w:pPr>
              <w:spacing w:after="0"/>
              <w:ind w:left="0" w:firstLine="0"/>
            </w:pPr>
            <w:r>
              <w:rPr>
                <w:sz w:val="8"/>
              </w:rPr>
              <w:t>223. Desta forma, o texto proposto define que a regulação setorial tem aplicação prioritária, antes da simples e direta aplicação de outros dispositivos legais, criados para situações gerais e muitas vezes para contratos não regulados. Em especial, visa-se evitar a avocação pelo concessionário do Art. 393 do Código Civil, ao definir, conforme regulação, a responsabilização do concessionário:</w:t>
            </w:r>
          </w:p>
        </w:tc>
        <w:tc>
          <w:tcPr>
            <w:tcW w:w="0" w:type="auto"/>
            <w:gridSpan w:val="2"/>
            <w:vMerge/>
            <w:tcBorders>
              <w:top w:val="nil"/>
              <w:left w:val="single" w:sz="3" w:space="0" w:color="000000"/>
              <w:bottom w:val="nil"/>
              <w:right w:val="nil"/>
            </w:tcBorders>
          </w:tcPr>
          <w:p w14:paraId="482D1C7F" w14:textId="77777777" w:rsidR="00541219" w:rsidRDefault="00541219">
            <w:pPr>
              <w:spacing w:after="160"/>
              <w:ind w:left="0" w:firstLine="0"/>
            </w:pPr>
          </w:p>
        </w:tc>
      </w:tr>
      <w:tr w:rsidR="00541219" w14:paraId="4C5A3052"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10DC039F" w14:textId="77777777" w:rsidR="00541219" w:rsidRDefault="00000000">
            <w:pPr>
              <w:spacing w:after="0"/>
              <w:ind w:left="497" w:firstLine="0"/>
              <w:jc w:val="both"/>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7E75A2A8" wp14:editId="01EDFE2C">
                      <wp:simplePos x="0" y="0"/>
                      <wp:positionH relativeFrom="column">
                        <wp:posOffset>2398395</wp:posOffset>
                      </wp:positionH>
                      <wp:positionV relativeFrom="paragraph">
                        <wp:posOffset>40077</wp:posOffset>
                      </wp:positionV>
                      <wp:extent cx="982980" cy="4572"/>
                      <wp:effectExtent l="0" t="0" r="0" b="0"/>
                      <wp:wrapNone/>
                      <wp:docPr id="128357" name="Group 128357"/>
                      <wp:cNvGraphicFramePr/>
                      <a:graphic xmlns:a="http://schemas.openxmlformats.org/drawingml/2006/main">
                        <a:graphicData uri="http://schemas.microsoft.com/office/word/2010/wordprocessingGroup">
                          <wpg:wgp>
                            <wpg:cNvGrpSpPr/>
                            <wpg:grpSpPr>
                              <a:xfrm>
                                <a:off x="0" y="0"/>
                                <a:ext cx="982980" cy="4572"/>
                                <a:chOff x="0" y="0"/>
                                <a:chExt cx="982980" cy="4572"/>
                              </a:xfrm>
                            </wpg:grpSpPr>
                            <wps:wsp>
                              <wps:cNvPr id="135620" name="Shape 135620"/>
                              <wps:cNvSpPr/>
                              <wps:spPr>
                                <a:xfrm>
                                  <a:off x="0" y="0"/>
                                  <a:ext cx="982980" cy="9144"/>
                                </a:xfrm>
                                <a:custGeom>
                                  <a:avLst/>
                                  <a:gdLst/>
                                  <a:ahLst/>
                                  <a:cxnLst/>
                                  <a:rect l="0" t="0" r="0" b="0"/>
                                  <a:pathLst>
                                    <a:path w="982980" h="9144">
                                      <a:moveTo>
                                        <a:pt x="0" y="0"/>
                                      </a:moveTo>
                                      <a:lnTo>
                                        <a:pt x="982980" y="0"/>
                                      </a:lnTo>
                                      <a:lnTo>
                                        <a:pt x="9829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28357" style="width:77.4pt;height:0.359985pt;position:absolute;z-index:-2147483593;mso-position-horizontal-relative:text;mso-position-horizontal:absolute;margin-left:188.85pt;mso-position-vertical-relative:text;margin-top:3.15567pt;" coordsize="9829,45">
                      <v:shape id="Shape 135621" style="position:absolute;width:9829;height:91;left:0;top:0;" coordsize="982980,9144" path="m0,0l982980,0l982980,9144l0,9144l0,0">
                        <v:stroke weight="0pt" endcap="flat" joinstyle="miter" miterlimit="10" on="false" color="#000000" opacity="0"/>
                        <v:fill on="true" color="#000000"/>
                      </v:shape>
                    </v:group>
                  </w:pict>
                </mc:Fallback>
              </mc:AlternateContent>
            </w:r>
            <w:r>
              <w:rPr>
                <w:sz w:val="8"/>
              </w:rPr>
              <w:t xml:space="preserve">     Art. 393. O devedor não responde pelos prejuízos resultantes de caso fortuito ou força maior, se expressamente não se houver por eles responsabilizado (grifo nosso).</w:t>
            </w:r>
          </w:p>
        </w:tc>
        <w:tc>
          <w:tcPr>
            <w:tcW w:w="0" w:type="auto"/>
            <w:gridSpan w:val="2"/>
            <w:vMerge/>
            <w:tcBorders>
              <w:top w:val="nil"/>
              <w:left w:val="single" w:sz="3" w:space="0" w:color="000000"/>
              <w:bottom w:val="nil"/>
              <w:right w:val="nil"/>
            </w:tcBorders>
          </w:tcPr>
          <w:p w14:paraId="6383A4E7" w14:textId="77777777" w:rsidR="00541219" w:rsidRDefault="00541219">
            <w:pPr>
              <w:spacing w:after="160"/>
              <w:ind w:left="0" w:firstLine="0"/>
            </w:pPr>
          </w:p>
        </w:tc>
      </w:tr>
      <w:tr w:rsidR="00541219" w14:paraId="3F7DE957"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3AFCA40A" w14:textId="77777777" w:rsidR="00541219" w:rsidRDefault="00000000">
            <w:pPr>
              <w:spacing w:after="0"/>
              <w:ind w:left="497" w:firstLine="0"/>
            </w:pPr>
            <w:r>
              <w:rPr>
                <w:sz w:val="8"/>
              </w:rPr>
              <w:t xml:space="preserve">     Parágrafo único. O caso fortuito ou de força maior verifica-se no fato necessário, cujos efeitos não eram possíveis evitar ou impedir</w:t>
            </w:r>
          </w:p>
        </w:tc>
        <w:tc>
          <w:tcPr>
            <w:tcW w:w="0" w:type="auto"/>
            <w:gridSpan w:val="2"/>
            <w:vMerge/>
            <w:tcBorders>
              <w:top w:val="nil"/>
              <w:left w:val="single" w:sz="3" w:space="0" w:color="000000"/>
              <w:bottom w:val="nil"/>
              <w:right w:val="nil"/>
            </w:tcBorders>
          </w:tcPr>
          <w:p w14:paraId="092DDCD7" w14:textId="77777777" w:rsidR="00541219" w:rsidRDefault="00541219">
            <w:pPr>
              <w:spacing w:after="160"/>
              <w:ind w:left="0" w:firstLine="0"/>
            </w:pPr>
          </w:p>
        </w:tc>
      </w:tr>
      <w:tr w:rsidR="00541219" w14:paraId="1D841992" w14:textId="77777777">
        <w:trPr>
          <w:trHeight w:val="470"/>
        </w:trPr>
        <w:tc>
          <w:tcPr>
            <w:tcW w:w="5344" w:type="dxa"/>
            <w:tcBorders>
              <w:top w:val="single" w:sz="3" w:space="0" w:color="000000"/>
              <w:left w:val="single" w:sz="3" w:space="0" w:color="000000"/>
              <w:bottom w:val="single" w:sz="3" w:space="0" w:color="000000"/>
              <w:right w:val="single" w:sz="3" w:space="0" w:color="000000"/>
            </w:tcBorders>
          </w:tcPr>
          <w:p w14:paraId="5C6D8226" w14:textId="77777777" w:rsidR="00541219" w:rsidRDefault="00000000">
            <w:pPr>
              <w:spacing w:after="0"/>
              <w:ind w:left="0" w:firstLine="0"/>
            </w:pPr>
            <w:r>
              <w:rPr>
                <w:sz w:val="8"/>
              </w:rPr>
              <w:t>224. Ainda, merece destaque a experiências recentes envolvendo condições extraordinárias na prestação do serviço. Primeiro, o tratamento dado na recente pandemia do coronavírus. Com a definição de essencialidade do serviço de distribuição de energia elétrica no Decreto N° 10.282, de 2020, houve à época a necessidade de se buscar na regulação específica do setor elétrico o tratamento de questões não diretamente aplicáveis à sociedade de forma geral. Mesmo com a revogação do referido Decreto, o que se materializa no contrato de concessão é justamente esse caráter de serviço essencial, ininterrompível e contínuo, na forma da regulação.</w:t>
            </w:r>
          </w:p>
        </w:tc>
        <w:tc>
          <w:tcPr>
            <w:tcW w:w="0" w:type="auto"/>
            <w:gridSpan w:val="2"/>
            <w:vMerge/>
            <w:tcBorders>
              <w:top w:val="nil"/>
              <w:left w:val="single" w:sz="3" w:space="0" w:color="000000"/>
              <w:bottom w:val="nil"/>
              <w:right w:val="nil"/>
            </w:tcBorders>
          </w:tcPr>
          <w:p w14:paraId="7026D9F2" w14:textId="77777777" w:rsidR="00541219" w:rsidRDefault="00541219">
            <w:pPr>
              <w:spacing w:after="160"/>
              <w:ind w:left="0" w:firstLine="0"/>
            </w:pPr>
          </w:p>
        </w:tc>
      </w:tr>
      <w:tr w:rsidR="00541219" w14:paraId="3B2B744B"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6FD5A4DE" w14:textId="77777777" w:rsidR="00541219" w:rsidRDefault="00000000">
            <w:pPr>
              <w:spacing w:after="0"/>
              <w:ind w:left="0" w:firstLine="0"/>
            </w:pPr>
            <w:r>
              <w:rPr>
                <w:sz w:val="8"/>
              </w:rPr>
              <w:t>225. Outra experiencia ainda mais recente foi através da Resolução Normativa n° 1.092, de 2024, que flexibilizou as regras de prestação do serviço público de distribuição de energia elétrica para enfrentamento da calamidade pública no Estado do Rio Grande do Sul. A referida resolução estabeleceu responsabilidades e flexibilidades para as distribuidoras, ao mesmo tempo que reconheceu a situação como caso fortuito e força maior.</w:t>
            </w:r>
          </w:p>
        </w:tc>
        <w:tc>
          <w:tcPr>
            <w:tcW w:w="0" w:type="auto"/>
            <w:gridSpan w:val="2"/>
            <w:vMerge/>
            <w:tcBorders>
              <w:top w:val="nil"/>
              <w:left w:val="single" w:sz="3" w:space="0" w:color="000000"/>
              <w:bottom w:val="nil"/>
              <w:right w:val="nil"/>
            </w:tcBorders>
          </w:tcPr>
          <w:p w14:paraId="7222C6A4" w14:textId="77777777" w:rsidR="00541219" w:rsidRDefault="00541219">
            <w:pPr>
              <w:spacing w:after="160"/>
              <w:ind w:left="0" w:firstLine="0"/>
            </w:pPr>
          </w:p>
        </w:tc>
      </w:tr>
      <w:tr w:rsidR="00541219" w14:paraId="6FE109E6"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0D193EAF" w14:textId="77777777" w:rsidR="00541219" w:rsidRDefault="00000000">
            <w:pPr>
              <w:spacing w:after="0"/>
              <w:ind w:left="0" w:firstLine="0"/>
              <w:jc w:val="both"/>
            </w:pPr>
            <w:r>
              <w:rPr>
                <w:sz w:val="8"/>
              </w:rPr>
              <w:t>226. Ainda, o contrato possui subcláusula, na Cláusula Sexta, que representa a possibilidade de se proceder à revisão extraordinária por alterações significativas nos custos da concessionária que tragam desequilíbrio econômico-financeiro:</w:t>
            </w:r>
          </w:p>
        </w:tc>
        <w:tc>
          <w:tcPr>
            <w:tcW w:w="0" w:type="auto"/>
            <w:gridSpan w:val="2"/>
            <w:vMerge/>
            <w:tcBorders>
              <w:top w:val="nil"/>
              <w:left w:val="single" w:sz="3" w:space="0" w:color="000000"/>
              <w:bottom w:val="nil"/>
              <w:right w:val="nil"/>
            </w:tcBorders>
          </w:tcPr>
          <w:p w14:paraId="1C868675" w14:textId="77777777" w:rsidR="00541219" w:rsidRDefault="00541219">
            <w:pPr>
              <w:spacing w:after="160"/>
              <w:ind w:left="0" w:firstLine="0"/>
            </w:pPr>
          </w:p>
        </w:tc>
      </w:tr>
      <w:tr w:rsidR="00541219" w14:paraId="573C5BE1"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27459CC4" w14:textId="77777777" w:rsidR="00541219" w:rsidRDefault="00000000">
            <w:pPr>
              <w:spacing w:after="0"/>
              <w:ind w:left="497" w:firstLine="0"/>
            </w:pPr>
            <w:r>
              <w:rPr>
                <w:sz w:val="8"/>
              </w:rPr>
              <w:t xml:space="preserve">     Subcláusula Décima Sexta - A pedido da DISTRIBUIDORA, a ANEEL poderá, considerando o nível eficiente de custos, proceder à revisão tarifária extraordinária, visando restabelecer o equilíbrio econômico-financeiro deste Contrato, sem prejuízo dos reposicionamentos tarifários ordinários, caso sejam comprovadas alterações significativas nos custos e receitas da DISTRIBUIDORA, que não decorram da ação ou da omissão desta, de acordo com o parágrafo único da Cláusula XXX.</w:t>
            </w:r>
          </w:p>
        </w:tc>
        <w:tc>
          <w:tcPr>
            <w:tcW w:w="0" w:type="auto"/>
            <w:gridSpan w:val="2"/>
            <w:vMerge/>
            <w:tcBorders>
              <w:top w:val="nil"/>
              <w:left w:val="single" w:sz="3" w:space="0" w:color="000000"/>
              <w:bottom w:val="nil"/>
              <w:right w:val="nil"/>
            </w:tcBorders>
          </w:tcPr>
          <w:p w14:paraId="349BC75F" w14:textId="77777777" w:rsidR="00541219" w:rsidRDefault="00541219">
            <w:pPr>
              <w:spacing w:after="160"/>
              <w:ind w:left="0" w:firstLine="0"/>
            </w:pPr>
          </w:p>
        </w:tc>
      </w:tr>
      <w:tr w:rsidR="00541219" w14:paraId="3AD4938F"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419DB4CF" w14:textId="77777777" w:rsidR="00541219" w:rsidRDefault="00000000">
            <w:pPr>
              <w:spacing w:after="0"/>
              <w:ind w:left="0" w:firstLine="0"/>
            </w:pPr>
            <w:r>
              <w:rPr>
                <w:sz w:val="8"/>
              </w:rPr>
              <w:t>227. Propõe-se acrescentar à subcláusula acima a possibilidade de que a alteração significativa nas receitas da distribuidora também possa ensejar o pedido de revisão tarifária extraordinária.</w:t>
            </w:r>
          </w:p>
        </w:tc>
        <w:tc>
          <w:tcPr>
            <w:tcW w:w="0" w:type="auto"/>
            <w:gridSpan w:val="2"/>
            <w:vMerge/>
            <w:tcBorders>
              <w:top w:val="nil"/>
              <w:left w:val="single" w:sz="3" w:space="0" w:color="000000"/>
              <w:bottom w:val="nil"/>
              <w:right w:val="nil"/>
            </w:tcBorders>
          </w:tcPr>
          <w:p w14:paraId="5A2E3C85" w14:textId="77777777" w:rsidR="00541219" w:rsidRDefault="00541219">
            <w:pPr>
              <w:spacing w:after="160"/>
              <w:ind w:left="0" w:firstLine="0"/>
            </w:pPr>
          </w:p>
        </w:tc>
      </w:tr>
      <w:tr w:rsidR="00541219" w14:paraId="72A8DEC2"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082D953E" w14:textId="77777777" w:rsidR="00541219" w:rsidRDefault="00000000">
            <w:pPr>
              <w:spacing w:after="0"/>
              <w:ind w:left="0" w:firstLine="0"/>
            </w:pPr>
            <w:r>
              <w:rPr>
                <w:sz w:val="8"/>
              </w:rPr>
              <w:t>228. Em contratos de concessão de serviço público de outros setores de infraestrutura, a Revisão Extraordinária se justifica para reequilibrar econômica e financeiramente a concessão em caso de eventos cujo risco é do Poder Concedente. Ainda, existe também utilização de limites mínimos de alteração da equação econômico-financeira da concessionária para admissão da Revisão Extraordinária.</w:t>
            </w:r>
          </w:p>
        </w:tc>
        <w:tc>
          <w:tcPr>
            <w:tcW w:w="0" w:type="auto"/>
            <w:gridSpan w:val="2"/>
            <w:vMerge/>
            <w:tcBorders>
              <w:top w:val="nil"/>
              <w:left w:val="single" w:sz="3" w:space="0" w:color="000000"/>
              <w:bottom w:val="nil"/>
              <w:right w:val="nil"/>
            </w:tcBorders>
          </w:tcPr>
          <w:p w14:paraId="57C31927" w14:textId="77777777" w:rsidR="00541219" w:rsidRDefault="00541219">
            <w:pPr>
              <w:spacing w:after="160"/>
              <w:ind w:left="0" w:firstLine="0"/>
            </w:pPr>
          </w:p>
        </w:tc>
      </w:tr>
      <w:tr w:rsidR="00541219" w14:paraId="58E1AF31" w14:textId="77777777">
        <w:trPr>
          <w:trHeight w:val="715"/>
        </w:trPr>
        <w:tc>
          <w:tcPr>
            <w:tcW w:w="5344" w:type="dxa"/>
            <w:tcBorders>
              <w:top w:val="single" w:sz="3" w:space="0" w:color="000000"/>
              <w:left w:val="single" w:sz="3" w:space="0" w:color="000000"/>
              <w:bottom w:val="double" w:sz="3" w:space="0" w:color="000000"/>
              <w:right w:val="single" w:sz="3" w:space="0" w:color="000000"/>
            </w:tcBorders>
          </w:tcPr>
          <w:p w14:paraId="5376A067" w14:textId="77777777" w:rsidR="00541219" w:rsidRDefault="00000000">
            <w:pPr>
              <w:spacing w:after="0" w:line="252" w:lineRule="auto"/>
              <w:ind w:left="0" w:firstLine="0"/>
            </w:pPr>
            <w:r>
              <w:rPr>
                <w:sz w:val="8"/>
              </w:rPr>
              <w:t xml:space="preserve">229. No caso do contrato de distribuição de energia elétrica, a possibilidade de revisão extraordinária é devida a alterações significativas nos custos ou receitas da distribuidora e que tragam desequilíbrio econômico-financeiro, mas não necessariamente devido a eventos cujo risco seja do Poder Concedente. Essa cláusula se baseia na Teoria da Imprevisão, onde o evento que deu causa ao desequilíbrio seja extraordinário e imprevisto e que não seja decorrente de </w:t>
            </w:r>
          </w:p>
          <w:p w14:paraId="08F466DD" w14:textId="77777777" w:rsidR="00541219" w:rsidRDefault="00000000">
            <w:pPr>
              <w:spacing w:after="0"/>
              <w:ind w:left="0" w:firstLine="0"/>
            </w:pPr>
            <w:r>
              <w:rPr>
                <w:sz w:val="8"/>
              </w:rPr>
              <w:t>conduta negligente da parte afetada. Dessa forma, permite um entendimento muito amplo para, inclusive, eventos cujos riscos não sejam do Poder Concedente. Ainda, também traz a ideia de limites para que haja o ensejo da revisão extraordinária, ao mencionar a necessidade de comprovação de alterações significativas nos custos e receitas da distribuidora. No caso, o estabelecimento do limite foi dado pelo PRORET submódulo 2.9.</w:t>
            </w:r>
          </w:p>
        </w:tc>
        <w:tc>
          <w:tcPr>
            <w:tcW w:w="0" w:type="auto"/>
            <w:gridSpan w:val="2"/>
            <w:vMerge/>
            <w:tcBorders>
              <w:top w:val="nil"/>
              <w:left w:val="single" w:sz="3" w:space="0" w:color="000000"/>
              <w:bottom w:val="nil"/>
              <w:right w:val="nil"/>
            </w:tcBorders>
          </w:tcPr>
          <w:p w14:paraId="231ADECA" w14:textId="77777777" w:rsidR="00541219" w:rsidRDefault="00541219">
            <w:pPr>
              <w:spacing w:after="160"/>
              <w:ind w:left="0" w:firstLine="0"/>
            </w:pPr>
          </w:p>
        </w:tc>
      </w:tr>
      <w:tr w:rsidR="00541219" w14:paraId="05E8EAE7" w14:textId="77777777">
        <w:trPr>
          <w:trHeight w:val="528"/>
        </w:trPr>
        <w:tc>
          <w:tcPr>
            <w:tcW w:w="5344" w:type="dxa"/>
            <w:tcBorders>
              <w:top w:val="double" w:sz="3" w:space="0" w:color="000000"/>
              <w:left w:val="single" w:sz="3" w:space="0" w:color="000000"/>
              <w:bottom w:val="single" w:sz="3" w:space="0" w:color="000000"/>
              <w:right w:val="single" w:sz="3" w:space="0" w:color="000000"/>
            </w:tcBorders>
          </w:tcPr>
          <w:p w14:paraId="650AD366" w14:textId="77777777" w:rsidR="00541219" w:rsidRDefault="00000000">
            <w:pPr>
              <w:spacing w:after="0"/>
              <w:ind w:left="2" w:firstLine="0"/>
            </w:pPr>
            <w:r>
              <w:t>III.1.8 – Do processo de caducidade</w:t>
            </w:r>
          </w:p>
          <w:p w14:paraId="6B5CDFC5" w14:textId="77777777" w:rsidR="00541219" w:rsidRDefault="00000000">
            <w:pPr>
              <w:spacing w:after="0"/>
              <w:ind w:left="0" w:right="15" w:firstLine="0"/>
            </w:pPr>
            <w:r>
              <w:rPr>
                <w:sz w:val="8"/>
              </w:rPr>
              <w:t>230. Nos termos do Decreto no 12.068/2024, a minuta do termo aditivo ao contrato de concessão deverá conter hipóteses de abertura de processo de caducidade em razão da não prestação de serviço adequado. O termo aditivo deve estabelecer, no mínimo, que o não atendimento do critério de continuidade do fornecimento, caracterizado pelos limites anuais globais dos indicadores de continuidade coletivos de frequência e de duração, de forma isolada ou conjuntamente, por dois anos consecutivos; e, o não atendimento do critério de eficiência com relação à gestão econômico-financeira por dois anos consecutivos, implicará a abertura do processo de caducidade.</w:t>
            </w:r>
          </w:p>
        </w:tc>
        <w:tc>
          <w:tcPr>
            <w:tcW w:w="0" w:type="auto"/>
            <w:gridSpan w:val="2"/>
            <w:vMerge/>
            <w:tcBorders>
              <w:top w:val="nil"/>
              <w:left w:val="single" w:sz="3" w:space="0" w:color="000000"/>
              <w:bottom w:val="nil"/>
              <w:right w:val="nil"/>
            </w:tcBorders>
          </w:tcPr>
          <w:p w14:paraId="65018219" w14:textId="77777777" w:rsidR="00541219" w:rsidRDefault="00541219">
            <w:pPr>
              <w:spacing w:after="160"/>
              <w:ind w:left="0" w:firstLine="0"/>
            </w:pPr>
          </w:p>
        </w:tc>
      </w:tr>
      <w:tr w:rsidR="00541219" w14:paraId="6069FB18"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53885005" w14:textId="77777777" w:rsidR="00541219" w:rsidRDefault="00000000">
            <w:pPr>
              <w:spacing w:after="0"/>
              <w:ind w:left="0" w:firstLine="0"/>
            </w:pPr>
            <w:r>
              <w:rPr>
                <w:sz w:val="8"/>
              </w:rPr>
              <w:t>231. Com o objetivo de assegurar a prestação do serviço público de distribuição compatível com a realidade tecnológica, regulatória e comercial do setor elétrico durante toda a vigência do contrato de concessão, a minuta do termo aditivo ao contrato de concessão poderá trazer critérios adicionais ou requisitos mais restritivos cujo descumprimento implique na abertura de processo de caducidade.</w:t>
            </w:r>
          </w:p>
        </w:tc>
        <w:tc>
          <w:tcPr>
            <w:tcW w:w="0" w:type="auto"/>
            <w:gridSpan w:val="2"/>
            <w:vMerge/>
            <w:tcBorders>
              <w:top w:val="nil"/>
              <w:left w:val="single" w:sz="3" w:space="0" w:color="000000"/>
              <w:bottom w:val="nil"/>
              <w:right w:val="nil"/>
            </w:tcBorders>
          </w:tcPr>
          <w:p w14:paraId="2F72C12F" w14:textId="77777777" w:rsidR="00541219" w:rsidRDefault="00541219">
            <w:pPr>
              <w:spacing w:after="160"/>
              <w:ind w:left="0" w:firstLine="0"/>
            </w:pPr>
          </w:p>
        </w:tc>
      </w:tr>
      <w:tr w:rsidR="00541219" w14:paraId="697B92B7"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5CD2AB72" w14:textId="77777777" w:rsidR="00541219" w:rsidRDefault="00000000">
            <w:pPr>
              <w:spacing w:after="0"/>
              <w:ind w:left="0" w:firstLine="0"/>
            </w:pPr>
            <w:r>
              <w:rPr>
                <w:sz w:val="8"/>
              </w:rPr>
              <w:t>232. O Decreto estabelece ainda que a definição desses critérios e requisitos adicionais pela ANEEL deverá ser precedida de processo de consulta pública, elaboração de análise de impacto regulatório e carência mínima de três anos para início da vigência da apuração.</w:t>
            </w:r>
          </w:p>
        </w:tc>
        <w:tc>
          <w:tcPr>
            <w:tcW w:w="0" w:type="auto"/>
            <w:gridSpan w:val="2"/>
            <w:vMerge/>
            <w:tcBorders>
              <w:top w:val="nil"/>
              <w:left w:val="single" w:sz="3" w:space="0" w:color="000000"/>
              <w:bottom w:val="nil"/>
              <w:right w:val="nil"/>
            </w:tcBorders>
          </w:tcPr>
          <w:p w14:paraId="19082B8E" w14:textId="77777777" w:rsidR="00541219" w:rsidRDefault="00541219">
            <w:pPr>
              <w:spacing w:after="160"/>
              <w:ind w:left="0" w:firstLine="0"/>
            </w:pPr>
          </w:p>
        </w:tc>
      </w:tr>
      <w:tr w:rsidR="00541219" w14:paraId="6DED0A0A"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44B87629" w14:textId="77777777" w:rsidR="00541219" w:rsidRDefault="00000000">
            <w:pPr>
              <w:spacing w:after="0"/>
              <w:ind w:left="0" w:firstLine="0"/>
            </w:pPr>
            <w:r>
              <w:rPr>
                <w:sz w:val="8"/>
              </w:rPr>
              <w:t>233. Dessa forma, a proposta de texto para a nova minuta reflete os comandos do Decreto no 12.068/2024.</w:t>
            </w:r>
          </w:p>
        </w:tc>
        <w:tc>
          <w:tcPr>
            <w:tcW w:w="0" w:type="auto"/>
            <w:gridSpan w:val="2"/>
            <w:vMerge/>
            <w:tcBorders>
              <w:top w:val="nil"/>
              <w:left w:val="single" w:sz="3" w:space="0" w:color="000000"/>
              <w:bottom w:val="nil"/>
              <w:right w:val="nil"/>
            </w:tcBorders>
          </w:tcPr>
          <w:p w14:paraId="7399CA26" w14:textId="77777777" w:rsidR="00541219" w:rsidRDefault="00541219">
            <w:pPr>
              <w:spacing w:after="160"/>
              <w:ind w:left="0" w:firstLine="0"/>
            </w:pPr>
          </w:p>
        </w:tc>
      </w:tr>
      <w:tr w:rsidR="00541219" w14:paraId="6F003852"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39A713C0" w14:textId="77777777" w:rsidR="00541219" w:rsidRDefault="00000000">
            <w:pPr>
              <w:spacing w:after="0"/>
              <w:ind w:left="497" w:firstLine="0"/>
            </w:pPr>
            <w:r>
              <w:rPr>
                <w:sz w:val="8"/>
              </w:rPr>
              <w:t xml:space="preserve">     Subcláusula Décima Terceira – O descumprimento pela DISTRIBUIDORA, por dois anos consecutivos, dos critérios de eficiência com relação à continuidade do fornecimento ou à gestão econômico-financeira, implicará a abertura do processo de caducidade, conforme regulação da ANEEL, respeitadas as disposições deste CONTRATO, particularmente o direito à ampla defesa e ao contraditório.</w:t>
            </w:r>
          </w:p>
        </w:tc>
        <w:tc>
          <w:tcPr>
            <w:tcW w:w="0" w:type="auto"/>
            <w:gridSpan w:val="2"/>
            <w:vMerge/>
            <w:tcBorders>
              <w:top w:val="nil"/>
              <w:left w:val="single" w:sz="3" w:space="0" w:color="000000"/>
              <w:bottom w:val="nil"/>
              <w:right w:val="nil"/>
            </w:tcBorders>
          </w:tcPr>
          <w:p w14:paraId="59AD78CD" w14:textId="77777777" w:rsidR="00541219" w:rsidRDefault="00541219">
            <w:pPr>
              <w:spacing w:after="160"/>
              <w:ind w:left="0" w:firstLine="0"/>
            </w:pPr>
          </w:p>
        </w:tc>
      </w:tr>
      <w:tr w:rsidR="00541219" w14:paraId="2AEE0507"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767D988C" w14:textId="77777777" w:rsidR="00541219" w:rsidRDefault="00000000">
            <w:pPr>
              <w:spacing w:after="0"/>
              <w:ind w:left="497" w:firstLine="0"/>
            </w:pPr>
            <w:r>
              <w:rPr>
                <w:sz w:val="8"/>
              </w:rPr>
              <w:t xml:space="preserve">     Parágrafo Primeiro – A ANEEL estabelecerá os indicadores de que trata o caput desta Subcláusula, sendo que, para o critério econômico-financeiro, observar-se-á, dentre outros, a necessidade de LAJIDA positivo, de capacidade de realização de investimentos mínimos, de gerenciamento da dívida e da possibilidade de cumprimento por meio de aporte de capital, conforme regulação da ANEEL.</w:t>
            </w:r>
          </w:p>
        </w:tc>
        <w:tc>
          <w:tcPr>
            <w:tcW w:w="0" w:type="auto"/>
            <w:gridSpan w:val="2"/>
            <w:vMerge/>
            <w:tcBorders>
              <w:top w:val="nil"/>
              <w:left w:val="single" w:sz="3" w:space="0" w:color="000000"/>
              <w:bottom w:val="nil"/>
              <w:right w:val="nil"/>
            </w:tcBorders>
          </w:tcPr>
          <w:p w14:paraId="4B522F51" w14:textId="77777777" w:rsidR="00541219" w:rsidRDefault="00541219">
            <w:pPr>
              <w:spacing w:after="160"/>
              <w:ind w:left="0" w:firstLine="0"/>
            </w:pPr>
          </w:p>
        </w:tc>
      </w:tr>
      <w:tr w:rsidR="00541219" w14:paraId="52DDAE83"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0843A5C7" w14:textId="77777777" w:rsidR="00541219" w:rsidRDefault="00000000">
            <w:pPr>
              <w:spacing w:after="0"/>
              <w:ind w:left="497" w:firstLine="0"/>
            </w:pPr>
            <w:r>
              <w:rPr>
                <w:sz w:val="8"/>
              </w:rPr>
              <w:t xml:space="preserve">     Parágrafo Segundo – A ANEEL poderá definir critérios adicionais ou requisitos mais restritivos que impliquem a abertura de processo de caducidade, com vistas a propiciar que a DISTRIBUIDORA preste o serviço público de distribuição de energia elétrica de forma compatível com a realidade tecnológica, regulatória e comercial do setor elétrico durante toda a vigência do contrato de concessão.</w:t>
            </w:r>
          </w:p>
        </w:tc>
        <w:tc>
          <w:tcPr>
            <w:tcW w:w="0" w:type="auto"/>
            <w:gridSpan w:val="2"/>
            <w:vMerge/>
            <w:tcBorders>
              <w:top w:val="nil"/>
              <w:left w:val="single" w:sz="3" w:space="0" w:color="000000"/>
              <w:bottom w:val="nil"/>
              <w:right w:val="nil"/>
            </w:tcBorders>
          </w:tcPr>
          <w:p w14:paraId="263B7AAB" w14:textId="77777777" w:rsidR="00541219" w:rsidRDefault="00541219">
            <w:pPr>
              <w:spacing w:after="160"/>
              <w:ind w:left="0" w:firstLine="0"/>
            </w:pPr>
          </w:p>
        </w:tc>
      </w:tr>
      <w:tr w:rsidR="00541219" w14:paraId="4F7547B8" w14:textId="77777777">
        <w:trPr>
          <w:trHeight w:val="338"/>
        </w:trPr>
        <w:tc>
          <w:tcPr>
            <w:tcW w:w="5344" w:type="dxa"/>
            <w:tcBorders>
              <w:top w:val="single" w:sz="3" w:space="0" w:color="000000"/>
              <w:left w:val="single" w:sz="3" w:space="0" w:color="000000"/>
              <w:bottom w:val="double" w:sz="3" w:space="0" w:color="000000"/>
              <w:right w:val="single" w:sz="3" w:space="0" w:color="000000"/>
            </w:tcBorders>
          </w:tcPr>
          <w:p w14:paraId="1D7CC0DE" w14:textId="77777777" w:rsidR="00541219" w:rsidRDefault="00000000">
            <w:pPr>
              <w:spacing w:after="0"/>
              <w:ind w:left="497" w:right="22" w:firstLine="0"/>
            </w:pPr>
            <w:r>
              <w:rPr>
                <w:sz w:val="8"/>
              </w:rPr>
              <w:t xml:space="preserve">     Parágrafo Terceiro – A aplicação do disposto no Parágrafo Segundo deverá ser precedida de processo de consulta pública, elaboração de análise de impacto regulatório e carência mínima de três anos para início da vigência da apuração de qualquer critério adicional ou requisito mais restritivo que venha a ser definido pela ANEEL.</w:t>
            </w:r>
          </w:p>
        </w:tc>
        <w:tc>
          <w:tcPr>
            <w:tcW w:w="0" w:type="auto"/>
            <w:gridSpan w:val="2"/>
            <w:vMerge/>
            <w:tcBorders>
              <w:top w:val="nil"/>
              <w:left w:val="single" w:sz="3" w:space="0" w:color="000000"/>
              <w:bottom w:val="nil"/>
              <w:right w:val="nil"/>
            </w:tcBorders>
          </w:tcPr>
          <w:p w14:paraId="55FFBFFE" w14:textId="77777777" w:rsidR="00541219" w:rsidRDefault="00541219">
            <w:pPr>
              <w:spacing w:after="160"/>
              <w:ind w:left="0" w:firstLine="0"/>
            </w:pPr>
          </w:p>
        </w:tc>
      </w:tr>
      <w:tr w:rsidR="00541219" w14:paraId="3E025BCE" w14:textId="77777777">
        <w:trPr>
          <w:trHeight w:val="151"/>
        </w:trPr>
        <w:tc>
          <w:tcPr>
            <w:tcW w:w="5344" w:type="dxa"/>
            <w:tcBorders>
              <w:top w:val="double" w:sz="3" w:space="0" w:color="000000"/>
              <w:left w:val="single" w:sz="3" w:space="0" w:color="000000"/>
              <w:bottom w:val="single" w:sz="3" w:space="0" w:color="000000"/>
              <w:right w:val="single" w:sz="3" w:space="0" w:color="000000"/>
            </w:tcBorders>
          </w:tcPr>
          <w:p w14:paraId="614D2C84" w14:textId="77777777" w:rsidR="00541219" w:rsidRDefault="00000000">
            <w:pPr>
              <w:spacing w:after="0"/>
              <w:ind w:left="2" w:firstLine="0"/>
            </w:pPr>
            <w:r>
              <w:t>III.1.9 – Dos compromissos pela prorrogação</w:t>
            </w:r>
          </w:p>
          <w:p w14:paraId="68B1B983" w14:textId="77777777" w:rsidR="00541219" w:rsidRDefault="00000000">
            <w:pPr>
              <w:spacing w:after="0"/>
              <w:ind w:left="0" w:firstLine="0"/>
            </w:pPr>
            <w:r>
              <w:rPr>
                <w:sz w:val="8"/>
              </w:rPr>
              <w:t>234. Nos termos do art. 6º do Decreto, como compromisso pela prorrogação das concessões, as concessionárias:</w:t>
            </w:r>
          </w:p>
        </w:tc>
        <w:tc>
          <w:tcPr>
            <w:tcW w:w="0" w:type="auto"/>
            <w:gridSpan w:val="2"/>
            <w:vMerge/>
            <w:tcBorders>
              <w:top w:val="nil"/>
              <w:left w:val="single" w:sz="3" w:space="0" w:color="000000"/>
              <w:bottom w:val="nil"/>
              <w:right w:val="nil"/>
            </w:tcBorders>
          </w:tcPr>
          <w:p w14:paraId="0526D692" w14:textId="77777777" w:rsidR="00541219" w:rsidRDefault="00541219">
            <w:pPr>
              <w:spacing w:after="160"/>
              <w:ind w:left="0" w:firstLine="0"/>
            </w:pPr>
          </w:p>
        </w:tc>
      </w:tr>
      <w:tr w:rsidR="00541219" w14:paraId="2872D166"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7B88D396" w14:textId="77777777" w:rsidR="00541219" w:rsidRDefault="00000000">
            <w:pPr>
              <w:spacing w:after="0"/>
              <w:ind w:left="497" w:firstLine="0"/>
            </w:pPr>
            <w:r>
              <w:rPr>
                <w:sz w:val="8"/>
              </w:rPr>
              <w:t xml:space="preserve">     I - </w:t>
            </w:r>
            <w:proofErr w:type="gramStart"/>
            <w:r>
              <w:rPr>
                <w:sz w:val="8"/>
              </w:rPr>
              <w:t>não</w:t>
            </w:r>
            <w:proofErr w:type="gramEnd"/>
            <w:r>
              <w:rPr>
                <w:sz w:val="8"/>
              </w:rPr>
              <w:t xml:space="preserve"> serão ressarcidas pela eventual abertura ao ambiente competitivo da prestação de serviços inicialmente por elas prestados, com vistas a beneficiar o usuário com ampliação da concorrência no setor elétrico;</w:t>
            </w:r>
          </w:p>
        </w:tc>
        <w:tc>
          <w:tcPr>
            <w:tcW w:w="0" w:type="auto"/>
            <w:gridSpan w:val="2"/>
            <w:vMerge/>
            <w:tcBorders>
              <w:top w:val="nil"/>
              <w:left w:val="single" w:sz="3" w:space="0" w:color="000000"/>
              <w:bottom w:val="nil"/>
              <w:right w:val="nil"/>
            </w:tcBorders>
          </w:tcPr>
          <w:p w14:paraId="4B2A14F5" w14:textId="77777777" w:rsidR="00541219" w:rsidRDefault="00541219">
            <w:pPr>
              <w:spacing w:after="160"/>
              <w:ind w:left="0" w:firstLine="0"/>
            </w:pPr>
          </w:p>
        </w:tc>
      </w:tr>
      <w:tr w:rsidR="00541219" w14:paraId="4D05BA7E"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57D7FA17" w14:textId="77777777" w:rsidR="00541219" w:rsidRDefault="00000000">
            <w:pPr>
              <w:spacing w:after="0"/>
              <w:ind w:left="497" w:firstLine="0"/>
            </w:pPr>
            <w:r>
              <w:rPr>
                <w:sz w:val="8"/>
              </w:rPr>
              <w:t xml:space="preserve">     II - </w:t>
            </w:r>
            <w:proofErr w:type="gramStart"/>
            <w:r>
              <w:rPr>
                <w:sz w:val="8"/>
              </w:rPr>
              <w:t>desenvolverão</w:t>
            </w:r>
            <w:proofErr w:type="gramEnd"/>
            <w:r>
              <w:rPr>
                <w:sz w:val="8"/>
              </w:rPr>
              <w:t xml:space="preserve"> ações para a redução da vulnerabilidade e para o aumento da resiliência das redes de distribuição frente a eventos climáticos, conforme regulação da Aneel;</w:t>
            </w:r>
          </w:p>
        </w:tc>
        <w:tc>
          <w:tcPr>
            <w:tcW w:w="0" w:type="auto"/>
            <w:gridSpan w:val="2"/>
            <w:vMerge/>
            <w:tcBorders>
              <w:top w:val="nil"/>
              <w:left w:val="single" w:sz="3" w:space="0" w:color="000000"/>
              <w:bottom w:val="nil"/>
              <w:right w:val="nil"/>
            </w:tcBorders>
          </w:tcPr>
          <w:p w14:paraId="13A21B80" w14:textId="77777777" w:rsidR="00541219" w:rsidRDefault="00541219">
            <w:pPr>
              <w:spacing w:after="160"/>
              <w:ind w:left="0" w:firstLine="0"/>
            </w:pPr>
          </w:p>
        </w:tc>
      </w:tr>
      <w:tr w:rsidR="00541219" w14:paraId="0276CA3D"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6FD04811" w14:textId="77777777" w:rsidR="00541219" w:rsidRDefault="00000000">
            <w:pPr>
              <w:spacing w:after="0"/>
              <w:ind w:left="497" w:firstLine="0"/>
            </w:pPr>
            <w:r>
              <w:rPr>
                <w:sz w:val="8"/>
              </w:rPr>
              <w:t xml:space="preserve">     III - desenvolverão ações para robustecer o nível de atendimento do serviço de eletricidade das áreas rurais, especialmente nas regiões com potencial para o agronegócio e a agricultura familiar, conforme regulação da Aneel; e</w:t>
            </w:r>
          </w:p>
        </w:tc>
        <w:tc>
          <w:tcPr>
            <w:tcW w:w="0" w:type="auto"/>
            <w:gridSpan w:val="2"/>
            <w:vMerge/>
            <w:tcBorders>
              <w:top w:val="nil"/>
              <w:left w:val="single" w:sz="3" w:space="0" w:color="000000"/>
              <w:bottom w:val="nil"/>
              <w:right w:val="nil"/>
            </w:tcBorders>
          </w:tcPr>
          <w:p w14:paraId="24699B47" w14:textId="77777777" w:rsidR="00541219" w:rsidRDefault="00541219">
            <w:pPr>
              <w:spacing w:after="160"/>
              <w:ind w:left="0" w:firstLine="0"/>
            </w:pPr>
          </w:p>
        </w:tc>
      </w:tr>
      <w:tr w:rsidR="00541219" w14:paraId="0A59DB48"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223938AA" w14:textId="77777777" w:rsidR="00541219" w:rsidRDefault="00000000">
            <w:pPr>
              <w:spacing w:after="0"/>
              <w:ind w:left="497" w:firstLine="0"/>
            </w:pPr>
            <w:r>
              <w:rPr>
                <w:sz w:val="8"/>
              </w:rPr>
              <w:t xml:space="preserve">     IV - </w:t>
            </w:r>
            <w:proofErr w:type="gramStart"/>
            <w:r>
              <w:rPr>
                <w:sz w:val="8"/>
              </w:rPr>
              <w:t>desenvolverão</w:t>
            </w:r>
            <w:proofErr w:type="gramEnd"/>
            <w:r>
              <w:rPr>
                <w:sz w:val="8"/>
              </w:rPr>
              <w:t xml:space="preserve"> ações que promovam a inclusão energética, a redução de perdas não técnicas, a regularização da prestação do serviço público em áreas de vulnerabilidade socioeconômica e o desenvolvimento tecnológico para a redução da pobreza energética, conforme diretriz do Ministério de Minas e Energia.</w:t>
            </w:r>
          </w:p>
        </w:tc>
        <w:tc>
          <w:tcPr>
            <w:tcW w:w="0" w:type="auto"/>
            <w:gridSpan w:val="2"/>
            <w:vMerge/>
            <w:tcBorders>
              <w:top w:val="nil"/>
              <w:left w:val="single" w:sz="3" w:space="0" w:color="000000"/>
              <w:bottom w:val="nil"/>
              <w:right w:val="nil"/>
            </w:tcBorders>
          </w:tcPr>
          <w:p w14:paraId="083F9593" w14:textId="77777777" w:rsidR="00541219" w:rsidRDefault="00541219">
            <w:pPr>
              <w:spacing w:after="160"/>
              <w:ind w:left="0" w:firstLine="0"/>
            </w:pPr>
          </w:p>
        </w:tc>
      </w:tr>
      <w:tr w:rsidR="00541219" w14:paraId="69C6CD5F"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343E1972" w14:textId="77777777" w:rsidR="00541219" w:rsidRDefault="00000000">
            <w:pPr>
              <w:spacing w:after="0"/>
              <w:ind w:left="0" w:firstLine="0"/>
            </w:pPr>
            <w:r>
              <w:rPr>
                <w:sz w:val="8"/>
              </w:rPr>
              <w:t>235. Esses compromissos deverão ser realizados durante todo o período de vigência contratual, a partir da assinatura do termo aditivo ao contrato de concessão, com planos de investimentos estabelecidos para cada ciclo tarifário e acompanhamento pela Aneel.</w:t>
            </w:r>
          </w:p>
        </w:tc>
        <w:tc>
          <w:tcPr>
            <w:tcW w:w="0" w:type="auto"/>
            <w:gridSpan w:val="2"/>
            <w:vMerge/>
            <w:tcBorders>
              <w:top w:val="nil"/>
              <w:left w:val="single" w:sz="3" w:space="0" w:color="000000"/>
              <w:bottom w:val="nil"/>
              <w:right w:val="nil"/>
            </w:tcBorders>
          </w:tcPr>
          <w:p w14:paraId="4D62FE68" w14:textId="77777777" w:rsidR="00541219" w:rsidRDefault="00541219">
            <w:pPr>
              <w:spacing w:after="160"/>
              <w:ind w:left="0" w:firstLine="0"/>
            </w:pPr>
          </w:p>
        </w:tc>
      </w:tr>
      <w:tr w:rsidR="00541219" w14:paraId="607F4FFB"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0AC19D71" w14:textId="77777777" w:rsidR="00541219" w:rsidRDefault="00000000">
            <w:pPr>
              <w:spacing w:after="0"/>
              <w:ind w:left="0" w:firstLine="0"/>
            </w:pPr>
            <w:r>
              <w:rPr>
                <w:sz w:val="8"/>
              </w:rPr>
              <w:t>236. Os recursos para os investimentos de que tratam os incisos III e IV advirão das receitas acessórias próprias e complementares e dos valores arrecadados referentes à ultrapassagem da demanda e ao excedente de reativos das concessionárias e poderão ser complementados por políticas públicas específicas estabelecidas para o mesmo fim.</w:t>
            </w:r>
          </w:p>
        </w:tc>
        <w:tc>
          <w:tcPr>
            <w:tcW w:w="0" w:type="auto"/>
            <w:gridSpan w:val="2"/>
            <w:vMerge/>
            <w:tcBorders>
              <w:top w:val="nil"/>
              <w:left w:val="single" w:sz="3" w:space="0" w:color="000000"/>
              <w:bottom w:val="nil"/>
              <w:right w:val="nil"/>
            </w:tcBorders>
          </w:tcPr>
          <w:p w14:paraId="40C1A90E" w14:textId="77777777" w:rsidR="00541219" w:rsidRDefault="00541219">
            <w:pPr>
              <w:spacing w:after="160"/>
              <w:ind w:left="0" w:firstLine="0"/>
            </w:pPr>
          </w:p>
        </w:tc>
      </w:tr>
      <w:tr w:rsidR="00541219" w14:paraId="6C18E5BC" w14:textId="77777777">
        <w:trPr>
          <w:trHeight w:val="233"/>
        </w:trPr>
        <w:tc>
          <w:tcPr>
            <w:tcW w:w="5344" w:type="dxa"/>
            <w:tcBorders>
              <w:top w:val="single" w:sz="3" w:space="0" w:color="000000"/>
              <w:left w:val="single" w:sz="3" w:space="0" w:color="000000"/>
              <w:bottom w:val="single" w:sz="3" w:space="0" w:color="000000"/>
              <w:right w:val="single" w:sz="3" w:space="0" w:color="000000"/>
            </w:tcBorders>
            <w:shd w:val="clear" w:color="auto" w:fill="D9E7FD"/>
          </w:tcPr>
          <w:p w14:paraId="0F2C3E7B" w14:textId="77777777" w:rsidR="00541219" w:rsidRDefault="00000000">
            <w:pPr>
              <w:spacing w:after="0"/>
              <w:ind w:left="2" w:firstLine="0"/>
            </w:pPr>
            <w:r>
              <w:t>III.1.10 – Previsão contratual para aplicação de tarifas diferenciadas: ferramenta para eficiência econômica, facilitação da transição energética e inclusão energética</w:t>
            </w:r>
          </w:p>
        </w:tc>
        <w:tc>
          <w:tcPr>
            <w:tcW w:w="0" w:type="auto"/>
            <w:gridSpan w:val="2"/>
            <w:vMerge/>
            <w:tcBorders>
              <w:top w:val="nil"/>
              <w:left w:val="single" w:sz="3" w:space="0" w:color="000000"/>
              <w:bottom w:val="nil"/>
              <w:right w:val="nil"/>
            </w:tcBorders>
          </w:tcPr>
          <w:p w14:paraId="2F65B68C" w14:textId="77777777" w:rsidR="00541219" w:rsidRDefault="00541219">
            <w:pPr>
              <w:spacing w:after="160"/>
              <w:ind w:left="0" w:firstLine="0"/>
            </w:pPr>
          </w:p>
        </w:tc>
      </w:tr>
      <w:tr w:rsidR="00541219" w14:paraId="233F7DE4" w14:textId="77777777">
        <w:trPr>
          <w:trHeight w:val="470"/>
        </w:trPr>
        <w:tc>
          <w:tcPr>
            <w:tcW w:w="5344" w:type="dxa"/>
            <w:tcBorders>
              <w:top w:val="single" w:sz="3" w:space="0" w:color="000000"/>
              <w:left w:val="single" w:sz="3" w:space="0" w:color="000000"/>
              <w:bottom w:val="single" w:sz="3" w:space="0" w:color="000000"/>
              <w:right w:val="single" w:sz="3" w:space="0" w:color="000000"/>
            </w:tcBorders>
          </w:tcPr>
          <w:p w14:paraId="12324513" w14:textId="77777777" w:rsidR="00541219" w:rsidRDefault="00000000">
            <w:pPr>
              <w:spacing w:after="0"/>
              <w:ind w:left="0" w:firstLine="0"/>
            </w:pPr>
            <w:r>
              <w:rPr>
                <w:sz w:val="8"/>
              </w:rPr>
              <w:t>237. O contrato de concessão deve se adequar ao novo papel das distribuidoras e assim proporcionar maior flexibilidade na exploração de novos modelos de negócio. A dinâmica já presente e futura do setor elétrico demanda uma regulação flexível e adaptável às contingências, sem comprometer a previsibilidade e a segurança jurídica dos contratos de concessão de distribuição. Assim, a adequada consideração da teoria das áleas no âmbito contratual, complementada pelo ambiente regulatório, permitem tratar a alocação de riscos entre o Poder Concedente e as concessionárias de forma oportuna.</w:t>
            </w:r>
          </w:p>
        </w:tc>
        <w:tc>
          <w:tcPr>
            <w:tcW w:w="0" w:type="auto"/>
            <w:gridSpan w:val="2"/>
            <w:vMerge/>
            <w:tcBorders>
              <w:top w:val="nil"/>
              <w:left w:val="single" w:sz="3" w:space="0" w:color="000000"/>
              <w:bottom w:val="nil"/>
              <w:right w:val="nil"/>
            </w:tcBorders>
          </w:tcPr>
          <w:p w14:paraId="2D90B369" w14:textId="77777777" w:rsidR="00541219" w:rsidRDefault="00541219">
            <w:pPr>
              <w:spacing w:after="160"/>
              <w:ind w:left="0" w:firstLine="0"/>
            </w:pPr>
          </w:p>
        </w:tc>
      </w:tr>
      <w:tr w:rsidR="00541219" w14:paraId="140E2861"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55CD56E3" w14:textId="77777777" w:rsidR="00541219" w:rsidRDefault="00000000">
            <w:pPr>
              <w:spacing w:after="0"/>
              <w:ind w:left="0" w:firstLine="0"/>
            </w:pPr>
            <w:r>
              <w:rPr>
                <w:sz w:val="8"/>
              </w:rPr>
              <w:t>238. Devido à proporção continental do Brasil, cada área de concessão ou permissão apresenta maturidade de mercado, desafios e oportunidades distintas. Em muitas situações esta heterogeneidade e diversidade ocorre dentro de uma mesma área de concessão.</w:t>
            </w:r>
          </w:p>
        </w:tc>
        <w:tc>
          <w:tcPr>
            <w:tcW w:w="0" w:type="auto"/>
            <w:gridSpan w:val="2"/>
            <w:vMerge/>
            <w:tcBorders>
              <w:top w:val="nil"/>
              <w:left w:val="single" w:sz="3" w:space="0" w:color="000000"/>
              <w:bottom w:val="nil"/>
              <w:right w:val="nil"/>
            </w:tcBorders>
          </w:tcPr>
          <w:p w14:paraId="418B321C" w14:textId="77777777" w:rsidR="00541219" w:rsidRDefault="00541219">
            <w:pPr>
              <w:spacing w:after="160"/>
              <w:ind w:left="0" w:firstLine="0"/>
            </w:pPr>
          </w:p>
        </w:tc>
      </w:tr>
      <w:tr w:rsidR="00541219" w14:paraId="24DE9CD5"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7E2FBA4C" w14:textId="77777777" w:rsidR="00541219" w:rsidRDefault="00000000">
            <w:pPr>
              <w:spacing w:after="0"/>
              <w:ind w:left="0" w:firstLine="0"/>
            </w:pPr>
            <w:r>
              <w:rPr>
                <w:sz w:val="8"/>
              </w:rPr>
              <w:t>239. A atual interpretação do contrato de concessão a respeito de tarifas inibe e não incentiva a utilização da tarifa como uma opção para melhorar as condições de prestação do serviço e a eficiência econômica, resultando em ineficiências econômicas que aumentam os custos de prestação do serviço para a sociedade, ou ainda induzem a ineficiências alocativas entre os usuários. Neste aspecto, a interpretação restritiva do termo isonomia tarifária presente no atual contrato como uma impossibilidade de diferenciação tarifária contribui para essas ineficiências.</w:t>
            </w:r>
          </w:p>
        </w:tc>
        <w:tc>
          <w:tcPr>
            <w:tcW w:w="0" w:type="auto"/>
            <w:gridSpan w:val="2"/>
            <w:vMerge/>
            <w:tcBorders>
              <w:top w:val="nil"/>
              <w:left w:val="single" w:sz="3" w:space="0" w:color="000000"/>
              <w:bottom w:val="nil"/>
              <w:right w:val="nil"/>
            </w:tcBorders>
          </w:tcPr>
          <w:p w14:paraId="080AE422" w14:textId="77777777" w:rsidR="00541219" w:rsidRDefault="00541219">
            <w:pPr>
              <w:spacing w:after="160"/>
              <w:ind w:left="0" w:firstLine="0"/>
            </w:pPr>
          </w:p>
        </w:tc>
      </w:tr>
      <w:tr w:rsidR="00541219" w14:paraId="233372A2"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0B335EDD" w14:textId="77777777" w:rsidR="00541219" w:rsidRDefault="00000000">
            <w:pPr>
              <w:spacing w:after="0"/>
              <w:ind w:left="0" w:firstLine="0"/>
            </w:pPr>
            <w:r>
              <w:rPr>
                <w:sz w:val="8"/>
              </w:rPr>
              <w:t>240. A previsão legal do tema é trazida no art. 13 da Lei 8.987/1995:</w:t>
            </w:r>
          </w:p>
        </w:tc>
        <w:tc>
          <w:tcPr>
            <w:tcW w:w="0" w:type="auto"/>
            <w:gridSpan w:val="2"/>
            <w:vMerge/>
            <w:tcBorders>
              <w:top w:val="nil"/>
              <w:left w:val="single" w:sz="3" w:space="0" w:color="000000"/>
              <w:bottom w:val="nil"/>
              <w:right w:val="nil"/>
            </w:tcBorders>
          </w:tcPr>
          <w:p w14:paraId="4CCB02B3" w14:textId="77777777" w:rsidR="00541219" w:rsidRDefault="00541219">
            <w:pPr>
              <w:spacing w:after="160"/>
              <w:ind w:left="0" w:firstLine="0"/>
            </w:pPr>
          </w:p>
        </w:tc>
      </w:tr>
      <w:tr w:rsidR="00541219" w14:paraId="6552DDC5"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07C17005" w14:textId="77777777" w:rsidR="00541219" w:rsidRDefault="00000000">
            <w:pPr>
              <w:spacing w:after="0"/>
              <w:ind w:left="497" w:firstLine="0"/>
            </w:pPr>
            <w:r>
              <w:rPr>
                <w:sz w:val="8"/>
              </w:rPr>
              <w:t xml:space="preserve">     Art. 13. As tarifas poderão ser diferenciadas em função das características técnicas e dos custos específicos provenientes do atendimento aos distintos segmentos de usuários.</w:t>
            </w:r>
          </w:p>
        </w:tc>
        <w:tc>
          <w:tcPr>
            <w:tcW w:w="0" w:type="auto"/>
            <w:gridSpan w:val="2"/>
            <w:vMerge/>
            <w:tcBorders>
              <w:top w:val="nil"/>
              <w:left w:val="single" w:sz="3" w:space="0" w:color="000000"/>
              <w:bottom w:val="nil"/>
              <w:right w:val="nil"/>
            </w:tcBorders>
          </w:tcPr>
          <w:p w14:paraId="22F32804" w14:textId="77777777" w:rsidR="00541219" w:rsidRDefault="00541219">
            <w:pPr>
              <w:spacing w:after="160"/>
              <w:ind w:left="0" w:firstLine="0"/>
            </w:pPr>
          </w:p>
        </w:tc>
      </w:tr>
      <w:tr w:rsidR="00541219" w14:paraId="347C4C2D"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3712B0E0" w14:textId="77777777" w:rsidR="00541219" w:rsidRDefault="00000000">
            <w:pPr>
              <w:spacing w:after="0"/>
              <w:ind w:left="0" w:right="1694" w:firstLine="0"/>
            </w:pPr>
            <w:r>
              <w:rPr>
                <w:sz w:val="8"/>
              </w:rPr>
              <w:t>241. De forma complementar, o Decreto nº 12.068/2024, inova na política tarifária ao alterar os Decretos nº 62724/1986 e nº 2.655/1998:</w:t>
            </w:r>
          </w:p>
        </w:tc>
        <w:tc>
          <w:tcPr>
            <w:tcW w:w="0" w:type="auto"/>
            <w:gridSpan w:val="2"/>
            <w:vMerge/>
            <w:tcBorders>
              <w:top w:val="nil"/>
              <w:left w:val="single" w:sz="3" w:space="0" w:color="000000"/>
              <w:bottom w:val="nil"/>
              <w:right w:val="nil"/>
            </w:tcBorders>
          </w:tcPr>
          <w:p w14:paraId="631840D6" w14:textId="77777777" w:rsidR="00541219" w:rsidRDefault="00541219">
            <w:pPr>
              <w:spacing w:after="160"/>
              <w:ind w:left="0" w:firstLine="0"/>
            </w:pPr>
          </w:p>
        </w:tc>
      </w:tr>
      <w:tr w:rsidR="00541219" w14:paraId="67AACBDA"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1F832C8C" w14:textId="77777777" w:rsidR="00541219" w:rsidRDefault="00000000">
            <w:pPr>
              <w:spacing w:after="0"/>
              <w:ind w:left="497" w:firstLine="0"/>
            </w:pPr>
            <w:r>
              <w:rPr>
                <w:sz w:val="8"/>
              </w:rPr>
              <w:lastRenderedPageBreak/>
              <w:t xml:space="preserve">     Art. 19. O Decreto no 62.724, de 17 de maio de 1968, passa a vigorar com as seguintes alterações:</w:t>
            </w:r>
          </w:p>
          <w:p w14:paraId="0650B44E" w14:textId="77777777" w:rsidR="00541219" w:rsidRDefault="00000000">
            <w:pPr>
              <w:spacing w:after="0"/>
              <w:ind w:left="497" w:firstLine="0"/>
            </w:pPr>
            <w:r>
              <w:rPr>
                <w:sz w:val="8"/>
              </w:rPr>
              <w:t xml:space="preserve">     "Art. 22. ..............................................................................................................              </w:t>
            </w:r>
          </w:p>
        </w:tc>
        <w:tc>
          <w:tcPr>
            <w:tcW w:w="0" w:type="auto"/>
            <w:gridSpan w:val="2"/>
            <w:vMerge/>
            <w:tcBorders>
              <w:top w:val="nil"/>
              <w:left w:val="single" w:sz="3" w:space="0" w:color="000000"/>
              <w:bottom w:val="nil"/>
              <w:right w:val="nil"/>
            </w:tcBorders>
          </w:tcPr>
          <w:p w14:paraId="6121C5B6" w14:textId="77777777" w:rsidR="00541219" w:rsidRDefault="00541219">
            <w:pPr>
              <w:spacing w:after="160"/>
              <w:ind w:left="0" w:firstLine="0"/>
            </w:pPr>
          </w:p>
        </w:tc>
      </w:tr>
      <w:tr w:rsidR="00541219" w14:paraId="2CB5912E"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1E5B6A40" w14:textId="77777777" w:rsidR="00541219" w:rsidRDefault="00000000">
            <w:pPr>
              <w:spacing w:after="0"/>
              <w:ind w:left="497" w:firstLine="0"/>
            </w:pPr>
            <w:r>
              <w:rPr>
                <w:sz w:val="8"/>
              </w:rPr>
              <w:t xml:space="preserve">     c) fornecimentos por simples transporte e ou intercâmbio de energia; e</w:t>
            </w:r>
          </w:p>
        </w:tc>
        <w:tc>
          <w:tcPr>
            <w:tcW w:w="0" w:type="auto"/>
            <w:gridSpan w:val="2"/>
            <w:vMerge/>
            <w:tcBorders>
              <w:top w:val="nil"/>
              <w:left w:val="single" w:sz="3" w:space="0" w:color="000000"/>
              <w:bottom w:val="nil"/>
              <w:right w:val="nil"/>
            </w:tcBorders>
          </w:tcPr>
          <w:p w14:paraId="3407DCFC" w14:textId="77777777" w:rsidR="00541219" w:rsidRDefault="00541219">
            <w:pPr>
              <w:spacing w:after="160"/>
              <w:ind w:left="0" w:firstLine="0"/>
            </w:pPr>
          </w:p>
        </w:tc>
      </w:tr>
      <w:tr w:rsidR="00541219" w14:paraId="0207CBE7"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4C8F5F30" w14:textId="77777777" w:rsidR="00541219" w:rsidRDefault="00000000">
            <w:pPr>
              <w:spacing w:after="0"/>
              <w:ind w:left="497" w:firstLine="0"/>
            </w:pPr>
            <w:r>
              <w:rPr>
                <w:sz w:val="8"/>
              </w:rPr>
              <w:t xml:space="preserve">     d) regiões de elevada complexidade ao combate às perdas não técnicas e de elevada inadimplência.           </w:t>
            </w:r>
          </w:p>
          <w:p w14:paraId="3343873C" w14:textId="77777777" w:rsidR="00541219" w:rsidRDefault="00000000">
            <w:pPr>
              <w:spacing w:after="0"/>
              <w:ind w:left="497" w:firstLine="0"/>
            </w:pPr>
            <w:r>
              <w:rPr>
                <w:sz w:val="8"/>
              </w:rPr>
              <w:t>.......................................................... " (NR)</w:t>
            </w:r>
          </w:p>
        </w:tc>
        <w:tc>
          <w:tcPr>
            <w:tcW w:w="0" w:type="auto"/>
            <w:gridSpan w:val="2"/>
            <w:vMerge/>
            <w:tcBorders>
              <w:top w:val="nil"/>
              <w:left w:val="single" w:sz="3" w:space="0" w:color="000000"/>
              <w:bottom w:val="nil"/>
              <w:right w:val="nil"/>
            </w:tcBorders>
          </w:tcPr>
          <w:p w14:paraId="40A7D79F" w14:textId="77777777" w:rsidR="00541219" w:rsidRDefault="00541219">
            <w:pPr>
              <w:spacing w:after="160"/>
              <w:ind w:left="0" w:firstLine="0"/>
            </w:pPr>
          </w:p>
        </w:tc>
      </w:tr>
      <w:tr w:rsidR="00541219" w14:paraId="15185688" w14:textId="77777777">
        <w:trPr>
          <w:trHeight w:val="144"/>
        </w:trPr>
        <w:tc>
          <w:tcPr>
            <w:tcW w:w="5344" w:type="dxa"/>
            <w:tcBorders>
              <w:top w:val="single" w:sz="3" w:space="0" w:color="000000"/>
              <w:left w:val="single" w:sz="3" w:space="0" w:color="000000"/>
              <w:bottom w:val="single" w:sz="3" w:space="0" w:color="000000"/>
              <w:right w:val="single" w:sz="3" w:space="0" w:color="000000"/>
            </w:tcBorders>
          </w:tcPr>
          <w:p w14:paraId="002607EE" w14:textId="77777777" w:rsidR="00541219" w:rsidRDefault="00000000">
            <w:pPr>
              <w:spacing w:after="0"/>
              <w:ind w:left="497" w:firstLine="0"/>
            </w:pPr>
            <w:r>
              <w:rPr>
                <w:sz w:val="8"/>
              </w:rPr>
              <w:t xml:space="preserve">     Art. 20. O Decreto no 2.655, de 2 de julho de 1998, passa a vigorar com as seguintes alterações:</w:t>
            </w:r>
          </w:p>
        </w:tc>
        <w:tc>
          <w:tcPr>
            <w:tcW w:w="0" w:type="auto"/>
            <w:gridSpan w:val="2"/>
            <w:vMerge/>
            <w:tcBorders>
              <w:top w:val="nil"/>
              <w:left w:val="single" w:sz="3" w:space="0" w:color="000000"/>
              <w:bottom w:val="nil"/>
              <w:right w:val="nil"/>
            </w:tcBorders>
          </w:tcPr>
          <w:p w14:paraId="4E0AF2FB" w14:textId="77777777" w:rsidR="00541219" w:rsidRDefault="00541219">
            <w:pPr>
              <w:spacing w:after="160"/>
              <w:ind w:left="0" w:firstLine="0"/>
            </w:pPr>
          </w:p>
        </w:tc>
      </w:tr>
      <w:tr w:rsidR="00541219" w14:paraId="37266A0A"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61BC5055" w14:textId="77777777" w:rsidR="00541219" w:rsidRDefault="00000000">
            <w:pPr>
              <w:spacing w:after="0"/>
              <w:ind w:left="497" w:firstLine="0"/>
            </w:pPr>
            <w:r>
              <w:rPr>
                <w:sz w:val="8"/>
              </w:rPr>
              <w:t xml:space="preserve">     "Art. 7o ...................................................................................</w:t>
            </w:r>
          </w:p>
        </w:tc>
        <w:tc>
          <w:tcPr>
            <w:tcW w:w="0" w:type="auto"/>
            <w:gridSpan w:val="2"/>
            <w:vMerge/>
            <w:tcBorders>
              <w:top w:val="nil"/>
              <w:left w:val="single" w:sz="3" w:space="0" w:color="000000"/>
              <w:bottom w:val="nil"/>
              <w:right w:val="nil"/>
            </w:tcBorders>
          </w:tcPr>
          <w:p w14:paraId="1062BE2C" w14:textId="77777777" w:rsidR="00541219" w:rsidRDefault="00541219">
            <w:pPr>
              <w:spacing w:after="160"/>
              <w:ind w:left="0" w:firstLine="0"/>
            </w:pPr>
          </w:p>
        </w:tc>
      </w:tr>
      <w:tr w:rsidR="00541219" w14:paraId="3F99C56A"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57BEC31E" w14:textId="77777777" w:rsidR="00541219" w:rsidRDefault="00000000">
            <w:pPr>
              <w:spacing w:after="0"/>
              <w:ind w:left="497" w:firstLine="0"/>
            </w:pPr>
            <w:r>
              <w:rPr>
                <w:sz w:val="8"/>
              </w:rPr>
              <w:t xml:space="preserve">     V - </w:t>
            </w:r>
            <w:proofErr w:type="gramStart"/>
            <w:r>
              <w:rPr>
                <w:sz w:val="8"/>
              </w:rPr>
              <w:t>minimizar</w:t>
            </w:r>
            <w:proofErr w:type="gramEnd"/>
            <w:r>
              <w:rPr>
                <w:sz w:val="8"/>
              </w:rPr>
              <w:t xml:space="preserve"> os custos de ampliação ou utilização dos sistemas elétricos; e</w:t>
            </w:r>
          </w:p>
        </w:tc>
        <w:tc>
          <w:tcPr>
            <w:tcW w:w="0" w:type="auto"/>
            <w:gridSpan w:val="2"/>
            <w:vMerge/>
            <w:tcBorders>
              <w:top w:val="nil"/>
              <w:left w:val="single" w:sz="3" w:space="0" w:color="000000"/>
              <w:bottom w:val="nil"/>
              <w:right w:val="nil"/>
            </w:tcBorders>
          </w:tcPr>
          <w:p w14:paraId="4C504CA9" w14:textId="77777777" w:rsidR="00541219" w:rsidRDefault="00541219">
            <w:pPr>
              <w:spacing w:after="160"/>
              <w:ind w:left="0" w:firstLine="0"/>
            </w:pPr>
          </w:p>
        </w:tc>
      </w:tr>
      <w:tr w:rsidR="00541219" w14:paraId="3DA50F6E"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09373B11" w14:textId="77777777" w:rsidR="00541219" w:rsidRDefault="00000000">
            <w:pPr>
              <w:spacing w:after="0"/>
              <w:ind w:left="497" w:firstLine="0"/>
            </w:pPr>
            <w:r>
              <w:rPr>
                <w:sz w:val="8"/>
              </w:rPr>
              <w:t xml:space="preserve">     VI - </w:t>
            </w:r>
            <w:proofErr w:type="gramStart"/>
            <w:r>
              <w:rPr>
                <w:sz w:val="8"/>
              </w:rPr>
              <w:t>estimular</w:t>
            </w:r>
            <w:proofErr w:type="gramEnd"/>
            <w:r>
              <w:rPr>
                <w:sz w:val="8"/>
              </w:rPr>
              <w:t xml:space="preserve"> ações de inclusão energética e de combate a perdas não técnicas e à inadimplência." (NR)</w:t>
            </w:r>
          </w:p>
        </w:tc>
        <w:tc>
          <w:tcPr>
            <w:tcW w:w="0" w:type="auto"/>
            <w:gridSpan w:val="2"/>
            <w:vMerge/>
            <w:tcBorders>
              <w:top w:val="nil"/>
              <w:left w:val="single" w:sz="3" w:space="0" w:color="000000"/>
              <w:bottom w:val="nil"/>
              <w:right w:val="nil"/>
            </w:tcBorders>
          </w:tcPr>
          <w:p w14:paraId="26E1C090" w14:textId="77777777" w:rsidR="00541219" w:rsidRDefault="00541219">
            <w:pPr>
              <w:spacing w:after="160"/>
              <w:ind w:left="0" w:firstLine="0"/>
            </w:pPr>
          </w:p>
        </w:tc>
      </w:tr>
      <w:tr w:rsidR="00541219" w14:paraId="2C62273B"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004DD4DE" w14:textId="77777777" w:rsidR="00541219" w:rsidRDefault="00000000">
            <w:pPr>
              <w:spacing w:after="0"/>
              <w:ind w:left="0" w:firstLine="0"/>
            </w:pPr>
            <w:r>
              <w:rPr>
                <w:sz w:val="8"/>
              </w:rPr>
              <w:t>242. Reforçando essa inovação, o Decreto 12.068/2024 define como diretrizes o aprimoramento das condições econômicas do contrato possibilitando que:</w:t>
            </w:r>
          </w:p>
        </w:tc>
        <w:tc>
          <w:tcPr>
            <w:tcW w:w="0" w:type="auto"/>
            <w:gridSpan w:val="2"/>
            <w:vMerge/>
            <w:tcBorders>
              <w:top w:val="nil"/>
              <w:left w:val="single" w:sz="3" w:space="0" w:color="000000"/>
              <w:bottom w:val="single" w:sz="3" w:space="0" w:color="000000"/>
              <w:right w:val="nil"/>
            </w:tcBorders>
          </w:tcPr>
          <w:p w14:paraId="44EBFD53" w14:textId="77777777" w:rsidR="00541219" w:rsidRDefault="00541219">
            <w:pPr>
              <w:spacing w:after="160"/>
              <w:ind w:left="0" w:firstLine="0"/>
            </w:pPr>
          </w:p>
        </w:tc>
      </w:tr>
      <w:tr w:rsidR="00541219" w14:paraId="765C3410" w14:textId="77777777">
        <w:trPr>
          <w:trHeight w:val="442"/>
        </w:trPr>
        <w:tc>
          <w:tcPr>
            <w:tcW w:w="5344" w:type="dxa"/>
            <w:tcBorders>
              <w:top w:val="single" w:sz="3" w:space="0" w:color="000000"/>
              <w:left w:val="single" w:sz="3" w:space="0" w:color="000000"/>
              <w:bottom w:val="single" w:sz="3" w:space="0" w:color="000000"/>
              <w:right w:val="single" w:sz="3" w:space="0" w:color="000000"/>
            </w:tcBorders>
            <w:vAlign w:val="center"/>
          </w:tcPr>
          <w:p w14:paraId="4C87CEA3" w14:textId="77777777" w:rsidR="00541219" w:rsidRDefault="00000000">
            <w:pPr>
              <w:spacing w:after="0"/>
              <w:ind w:left="497" w:firstLine="0"/>
            </w:pPr>
            <w:r>
              <w:rPr>
                <w:sz w:val="8"/>
              </w:rPr>
              <w:t xml:space="preserve">     d) as tarifas homologadas pela Aneel possam ser diferenciadas para áreas de elevada complexidade ao combate às perdas não técnicas e de elevada inadimplência;</w:t>
            </w:r>
          </w:p>
        </w:tc>
        <w:tc>
          <w:tcPr>
            <w:tcW w:w="1229" w:type="dxa"/>
            <w:tcBorders>
              <w:top w:val="single" w:sz="3" w:space="0" w:color="000000"/>
              <w:left w:val="single" w:sz="3" w:space="0" w:color="000000"/>
              <w:bottom w:val="single" w:sz="3" w:space="0" w:color="000000"/>
              <w:right w:val="single" w:sz="3" w:space="0" w:color="000000"/>
            </w:tcBorders>
            <w:vAlign w:val="center"/>
          </w:tcPr>
          <w:p w14:paraId="110F12A4"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0A4AE5BD" w14:textId="77777777" w:rsidR="00541219" w:rsidRDefault="00000000" w:rsidP="00C824F7">
            <w:pPr>
              <w:spacing w:after="0"/>
              <w:ind w:left="5" w:firstLine="0"/>
              <w:jc w:val="both"/>
            </w:pPr>
            <w:r>
              <w:t>A grande questão é quem paga por essa tarifa diferenciada. Não pode simplesmente recair sobre os consumidores regulados de baixa tensão. Essa diferenciação deve ser distribuída a todos os consumidores cativos e livres.</w:t>
            </w:r>
          </w:p>
        </w:tc>
      </w:tr>
      <w:tr w:rsidR="00541219" w14:paraId="78305308" w14:textId="77777777">
        <w:trPr>
          <w:trHeight w:val="221"/>
        </w:trPr>
        <w:tc>
          <w:tcPr>
            <w:tcW w:w="5344" w:type="dxa"/>
            <w:tcBorders>
              <w:top w:val="single" w:sz="3" w:space="0" w:color="000000"/>
              <w:left w:val="single" w:sz="3" w:space="0" w:color="000000"/>
              <w:bottom w:val="single" w:sz="3" w:space="0" w:color="000000"/>
              <w:right w:val="single" w:sz="3" w:space="0" w:color="000000"/>
            </w:tcBorders>
          </w:tcPr>
          <w:p w14:paraId="4A4630B0" w14:textId="77777777" w:rsidR="00541219" w:rsidRDefault="00000000">
            <w:pPr>
              <w:spacing w:after="0"/>
              <w:ind w:left="497" w:firstLine="0"/>
            </w:pPr>
            <w:r>
              <w:rPr>
                <w:sz w:val="8"/>
              </w:rPr>
              <w:t xml:space="preserve">     e) a Aneel possa definir diferentes tipos de tarifas em função de critérios técnicos, locacionais e de qualidade, a serem aplicados de forma não discriminatória, resguardadas a transparência de cálculo e a publicidade dos valores aplicados em cada tipo tarifário; e</w:t>
            </w:r>
          </w:p>
        </w:tc>
        <w:tc>
          <w:tcPr>
            <w:tcW w:w="1229" w:type="dxa"/>
            <w:tcBorders>
              <w:top w:val="single" w:sz="3" w:space="0" w:color="000000"/>
              <w:left w:val="single" w:sz="3" w:space="0" w:color="000000"/>
              <w:bottom w:val="single" w:sz="3" w:space="0" w:color="000000"/>
              <w:right w:val="single" w:sz="3" w:space="0" w:color="000000"/>
            </w:tcBorders>
          </w:tcPr>
          <w:p w14:paraId="01C6B8EB"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3FB0AED7" w14:textId="77777777" w:rsidR="00541219" w:rsidRDefault="00000000" w:rsidP="00C824F7">
            <w:pPr>
              <w:spacing w:after="0"/>
              <w:ind w:left="5" w:firstLine="0"/>
              <w:jc w:val="both"/>
            </w:pPr>
            <w:r>
              <w:t>Observa-se inadequado alocar custos maiores que os suportáveis para determinado grupo ou subgrupo tarifário.</w:t>
            </w:r>
          </w:p>
        </w:tc>
      </w:tr>
      <w:tr w:rsidR="00541219" w14:paraId="325BEDB7"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70EE6472" w14:textId="77777777" w:rsidR="00541219" w:rsidRDefault="00000000">
            <w:pPr>
              <w:spacing w:after="0"/>
              <w:ind w:left="0" w:firstLine="0"/>
            </w:pPr>
            <w:r>
              <w:rPr>
                <w:sz w:val="8"/>
              </w:rPr>
              <w:t>243. Não há necessidade de explorar no âmbito da presente instrução as questões associadas a transparência de cálculo e publicidade uma vez que são obrigações presentes no rito ordinário da regulação e da prestação do serviço, conforme Lei do processo administrativo, Lei das Agências Reguladoras e obrigações da concessionária.</w:t>
            </w:r>
          </w:p>
        </w:tc>
        <w:tc>
          <w:tcPr>
            <w:tcW w:w="4920" w:type="dxa"/>
            <w:gridSpan w:val="2"/>
            <w:vMerge w:val="restart"/>
            <w:tcBorders>
              <w:top w:val="single" w:sz="3" w:space="0" w:color="000000"/>
              <w:left w:val="single" w:sz="3" w:space="0" w:color="000000"/>
              <w:bottom w:val="nil"/>
              <w:right w:val="nil"/>
            </w:tcBorders>
          </w:tcPr>
          <w:p w14:paraId="04906413" w14:textId="77777777" w:rsidR="00541219" w:rsidRDefault="00541219">
            <w:pPr>
              <w:spacing w:after="160"/>
              <w:ind w:left="0" w:firstLine="0"/>
            </w:pPr>
          </w:p>
        </w:tc>
      </w:tr>
      <w:tr w:rsidR="00541219" w14:paraId="60472996"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0BBB63E5" w14:textId="77777777" w:rsidR="00541219" w:rsidRDefault="00000000">
            <w:pPr>
              <w:spacing w:after="0"/>
              <w:ind w:left="0" w:firstLine="0"/>
              <w:jc w:val="both"/>
            </w:pPr>
            <w:r>
              <w:rPr>
                <w:sz w:val="8"/>
              </w:rPr>
              <w:t>244. O item “e” do Decreto acaba por explicitar condicionantes técnicos que possam motivar a diferenciação tarifária (locacional e qualidade por exemplo), para segmentos de usuários, o que permite garantir que não se trata de regra aplicada casuisticamente para um usuário de forma discriminatória.</w:t>
            </w:r>
          </w:p>
        </w:tc>
        <w:tc>
          <w:tcPr>
            <w:tcW w:w="0" w:type="auto"/>
            <w:gridSpan w:val="2"/>
            <w:vMerge/>
            <w:tcBorders>
              <w:top w:val="nil"/>
              <w:left w:val="single" w:sz="3" w:space="0" w:color="000000"/>
              <w:bottom w:val="nil"/>
              <w:right w:val="nil"/>
            </w:tcBorders>
          </w:tcPr>
          <w:p w14:paraId="2EF3F693" w14:textId="77777777" w:rsidR="00541219" w:rsidRDefault="00541219">
            <w:pPr>
              <w:spacing w:after="160"/>
              <w:ind w:left="0" w:firstLine="0"/>
            </w:pPr>
          </w:p>
        </w:tc>
      </w:tr>
    </w:tbl>
    <w:p w14:paraId="25134493" w14:textId="77777777" w:rsidR="00541219" w:rsidRDefault="00541219">
      <w:pPr>
        <w:spacing w:after="0"/>
        <w:ind w:left="-1440" w:right="8609" w:firstLine="0"/>
      </w:pPr>
    </w:p>
    <w:tbl>
      <w:tblPr>
        <w:tblStyle w:val="TableGrid"/>
        <w:tblW w:w="10264" w:type="dxa"/>
        <w:tblInd w:w="-688" w:type="dxa"/>
        <w:tblCellMar>
          <w:top w:w="0" w:type="dxa"/>
          <w:left w:w="19" w:type="dxa"/>
          <w:bottom w:w="0" w:type="dxa"/>
          <w:right w:w="20" w:type="dxa"/>
        </w:tblCellMar>
        <w:tblLook w:val="04A0" w:firstRow="1" w:lastRow="0" w:firstColumn="1" w:lastColumn="0" w:noHBand="0" w:noVBand="1"/>
      </w:tblPr>
      <w:tblGrid>
        <w:gridCol w:w="5344"/>
        <w:gridCol w:w="1229"/>
        <w:gridCol w:w="3691"/>
      </w:tblGrid>
      <w:tr w:rsidR="00541219" w14:paraId="2FED5D37" w14:textId="77777777">
        <w:trPr>
          <w:trHeight w:val="150"/>
        </w:trPr>
        <w:tc>
          <w:tcPr>
            <w:tcW w:w="10264" w:type="dxa"/>
            <w:gridSpan w:val="3"/>
            <w:tcBorders>
              <w:top w:val="single" w:sz="6" w:space="0" w:color="000000"/>
              <w:left w:val="single" w:sz="6" w:space="0" w:color="000000"/>
              <w:bottom w:val="single" w:sz="3" w:space="0" w:color="000000"/>
              <w:right w:val="single" w:sz="6" w:space="0" w:color="000000"/>
            </w:tcBorders>
          </w:tcPr>
          <w:p w14:paraId="6F3A7026" w14:textId="77777777" w:rsidR="00541219" w:rsidRDefault="00000000">
            <w:pPr>
              <w:spacing w:after="0"/>
              <w:ind w:left="16" w:firstLine="0"/>
              <w:jc w:val="center"/>
            </w:pPr>
            <w:r>
              <w:rPr>
                <w:color w:val="0000FF"/>
                <w:sz w:val="12"/>
              </w:rPr>
              <w:t>CONTRIBUIÇÃO REFERENTE À CONSULTA PÚBLICA Nº 27/2024</w:t>
            </w:r>
          </w:p>
        </w:tc>
      </w:tr>
      <w:tr w:rsidR="00541219" w14:paraId="50786150" w14:textId="77777777">
        <w:trPr>
          <w:trHeight w:val="149"/>
        </w:trPr>
        <w:tc>
          <w:tcPr>
            <w:tcW w:w="10264" w:type="dxa"/>
            <w:gridSpan w:val="3"/>
            <w:tcBorders>
              <w:top w:val="single" w:sz="3" w:space="0" w:color="000000"/>
              <w:left w:val="single" w:sz="6" w:space="0" w:color="000000"/>
              <w:bottom w:val="single" w:sz="3" w:space="0" w:color="000000"/>
              <w:right w:val="single" w:sz="6" w:space="0" w:color="000000"/>
            </w:tcBorders>
          </w:tcPr>
          <w:p w14:paraId="401DC0C0" w14:textId="77777777" w:rsidR="00541219" w:rsidRDefault="00000000">
            <w:pPr>
              <w:spacing w:after="0"/>
              <w:ind w:left="4" w:firstLine="0"/>
              <w:jc w:val="center"/>
            </w:pPr>
            <w:r>
              <w:rPr>
                <w:color w:val="0000FF"/>
                <w:sz w:val="12"/>
              </w:rPr>
              <w:t>NOME DA INSTITUIÇÃO: CONCEN Conselho de Consumidores da Energisa Mato Grosso do Sul</w:t>
            </w:r>
          </w:p>
        </w:tc>
      </w:tr>
      <w:tr w:rsidR="00541219" w14:paraId="0FE698EC" w14:textId="77777777">
        <w:trPr>
          <w:trHeight w:val="149"/>
        </w:trPr>
        <w:tc>
          <w:tcPr>
            <w:tcW w:w="10264" w:type="dxa"/>
            <w:gridSpan w:val="3"/>
            <w:tcBorders>
              <w:top w:val="single" w:sz="3" w:space="0" w:color="000000"/>
              <w:left w:val="single" w:sz="6" w:space="0" w:color="000000"/>
              <w:bottom w:val="single" w:sz="3" w:space="0" w:color="000000"/>
              <w:right w:val="single" w:sz="6" w:space="0" w:color="000000"/>
            </w:tcBorders>
          </w:tcPr>
          <w:p w14:paraId="353A128E" w14:textId="77777777" w:rsidR="00541219" w:rsidRDefault="00000000">
            <w:pPr>
              <w:tabs>
                <w:tab w:val="center" w:pos="626"/>
                <w:tab w:val="center" w:pos="5122"/>
              </w:tabs>
              <w:spacing w:after="0"/>
              <w:ind w:left="0" w:firstLine="0"/>
            </w:pPr>
            <w:r>
              <w:rPr>
                <w:rFonts w:ascii="Calibri" w:eastAsia="Calibri" w:hAnsi="Calibri" w:cs="Calibri"/>
                <w:sz w:val="22"/>
              </w:rPr>
              <w:tab/>
            </w:r>
            <w:r>
              <w:rPr>
                <w:noProof/>
              </w:rPr>
              <w:drawing>
                <wp:inline distT="0" distB="0" distL="0" distR="0" wp14:anchorId="223C8A45" wp14:editId="079139F6">
                  <wp:extent cx="585216" cy="362712"/>
                  <wp:effectExtent l="0" t="0" r="0" b="0"/>
                  <wp:docPr id="3647" name="Picture 3647"/>
                  <wp:cNvGraphicFramePr/>
                  <a:graphic xmlns:a="http://schemas.openxmlformats.org/drawingml/2006/main">
                    <a:graphicData uri="http://schemas.openxmlformats.org/drawingml/2006/picture">
                      <pic:pic xmlns:pic="http://schemas.openxmlformats.org/drawingml/2006/picture">
                        <pic:nvPicPr>
                          <pic:cNvPr id="3647" name="Picture 3647"/>
                          <pic:cNvPicPr/>
                        </pic:nvPicPr>
                        <pic:blipFill>
                          <a:blip r:embed="rId5"/>
                          <a:stretch>
                            <a:fillRect/>
                          </a:stretch>
                        </pic:blipFill>
                        <pic:spPr>
                          <a:xfrm>
                            <a:off x="0" y="0"/>
                            <a:ext cx="585216" cy="362712"/>
                          </a:xfrm>
                          <a:prstGeom prst="rect">
                            <a:avLst/>
                          </a:prstGeom>
                        </pic:spPr>
                      </pic:pic>
                    </a:graphicData>
                  </a:graphic>
                </wp:inline>
              </w:drawing>
            </w:r>
            <w:r>
              <w:rPr>
                <w:color w:val="0000FF"/>
                <w:sz w:val="12"/>
              </w:rPr>
              <w:tab/>
              <w:t>AGÊNCIA NACIONAL DE ENERGIA ELÉTRICA – ANEEL</w:t>
            </w:r>
          </w:p>
        </w:tc>
      </w:tr>
      <w:tr w:rsidR="00541219" w14:paraId="3FE37376" w14:textId="77777777">
        <w:trPr>
          <w:trHeight w:val="178"/>
        </w:trPr>
        <w:tc>
          <w:tcPr>
            <w:tcW w:w="10264" w:type="dxa"/>
            <w:gridSpan w:val="3"/>
            <w:tcBorders>
              <w:top w:val="single" w:sz="3" w:space="0" w:color="000000"/>
              <w:left w:val="single" w:sz="6" w:space="0" w:color="000000"/>
              <w:bottom w:val="single" w:sz="3" w:space="0" w:color="000000"/>
              <w:right w:val="single" w:sz="6" w:space="0" w:color="000000"/>
            </w:tcBorders>
          </w:tcPr>
          <w:p w14:paraId="1C854637" w14:textId="77777777" w:rsidR="00541219" w:rsidRDefault="00000000">
            <w:pPr>
              <w:spacing w:after="0"/>
              <w:ind w:left="14" w:firstLine="0"/>
              <w:jc w:val="center"/>
            </w:pPr>
            <w:r>
              <w:rPr>
                <w:color w:val="0000FF"/>
              </w:rPr>
              <w:t>NOTA TÉCNICA nº 1.056/2024-SCE-SFF-SFT-SMA-STE-STD-STR/ANEEL de 09 de outubro de 2024.</w:t>
            </w:r>
          </w:p>
        </w:tc>
      </w:tr>
      <w:tr w:rsidR="00541219" w14:paraId="618F518B" w14:textId="77777777">
        <w:trPr>
          <w:trHeight w:val="194"/>
        </w:trPr>
        <w:tc>
          <w:tcPr>
            <w:tcW w:w="10264" w:type="dxa"/>
            <w:gridSpan w:val="3"/>
            <w:tcBorders>
              <w:top w:val="single" w:sz="3" w:space="0" w:color="000000"/>
              <w:left w:val="single" w:sz="6" w:space="0" w:color="000000"/>
              <w:bottom w:val="single" w:sz="3" w:space="0" w:color="000000"/>
              <w:right w:val="single" w:sz="6" w:space="0" w:color="000000"/>
            </w:tcBorders>
          </w:tcPr>
          <w:p w14:paraId="13D15AA6" w14:textId="77777777" w:rsidR="00541219" w:rsidRDefault="00000000">
            <w:pPr>
              <w:spacing w:after="0"/>
              <w:ind w:left="1" w:firstLine="0"/>
              <w:jc w:val="center"/>
            </w:pPr>
            <w:r>
              <w:rPr>
                <w:color w:val="0000FF"/>
              </w:rPr>
              <w:t xml:space="preserve">                                                               EMENTA: Obter subsídios para o aprimoramento da minuta de termo aditivo ao contrato de concessão de distribuição de energia elétrica com vistas à prorrogação das concessões.</w:t>
            </w:r>
          </w:p>
        </w:tc>
      </w:tr>
      <w:tr w:rsidR="00541219" w14:paraId="4F3DEFBD" w14:textId="77777777">
        <w:trPr>
          <w:trHeight w:val="132"/>
        </w:trPr>
        <w:tc>
          <w:tcPr>
            <w:tcW w:w="10264" w:type="dxa"/>
            <w:gridSpan w:val="3"/>
            <w:tcBorders>
              <w:top w:val="single" w:sz="3" w:space="0" w:color="000000"/>
              <w:left w:val="single" w:sz="6" w:space="0" w:color="000000"/>
              <w:bottom w:val="single" w:sz="3" w:space="0" w:color="000000"/>
              <w:right w:val="single" w:sz="6" w:space="0" w:color="000000"/>
            </w:tcBorders>
          </w:tcPr>
          <w:p w14:paraId="52382706" w14:textId="77777777" w:rsidR="00541219" w:rsidRDefault="00000000">
            <w:pPr>
              <w:spacing w:after="0"/>
              <w:ind w:left="1" w:firstLine="0"/>
              <w:jc w:val="center"/>
            </w:pPr>
            <w:r>
              <w:rPr>
                <w:color w:val="0000FF"/>
                <w:sz w:val="11"/>
              </w:rPr>
              <w:t>CONTRIBUIÇÕES RECEBIDAS</w:t>
            </w:r>
          </w:p>
        </w:tc>
      </w:tr>
      <w:tr w:rsidR="00541219" w14:paraId="5903D3E9" w14:textId="77777777">
        <w:trPr>
          <w:trHeight w:val="275"/>
        </w:trPr>
        <w:tc>
          <w:tcPr>
            <w:tcW w:w="10264" w:type="dxa"/>
            <w:gridSpan w:val="3"/>
            <w:tcBorders>
              <w:top w:val="single" w:sz="3" w:space="0" w:color="000000"/>
              <w:left w:val="single" w:sz="6" w:space="0" w:color="000000"/>
              <w:bottom w:val="single" w:sz="6" w:space="0" w:color="000000"/>
              <w:right w:val="single" w:sz="6" w:space="0" w:color="000000"/>
            </w:tcBorders>
          </w:tcPr>
          <w:p w14:paraId="16230858" w14:textId="77777777" w:rsidR="00541219" w:rsidRDefault="00000000">
            <w:pPr>
              <w:spacing w:after="0"/>
              <w:ind w:left="0" w:firstLine="0"/>
            </w:pPr>
            <w:r>
              <w:t>IMPORTANTE: Os comentários e sugestões referentes às contribuições deverão ser fundamentados e justificados, mencionando-se os artigos, parágrafos e incisos a que se referem, devendo ser acompanhados de textos alternativos e substitutivos quando envolverem sugestões de inclusão ou alteração, parcial ou total, de qualquer dispositivo.</w:t>
            </w:r>
          </w:p>
        </w:tc>
      </w:tr>
      <w:tr w:rsidR="00541219" w14:paraId="17876C78" w14:textId="77777777">
        <w:trPr>
          <w:trHeight w:val="213"/>
        </w:trPr>
        <w:tc>
          <w:tcPr>
            <w:tcW w:w="5344" w:type="dxa"/>
            <w:tcBorders>
              <w:top w:val="single" w:sz="6" w:space="0" w:color="000000"/>
              <w:left w:val="single" w:sz="6" w:space="0" w:color="000000"/>
              <w:bottom w:val="double" w:sz="4" w:space="0" w:color="000000"/>
              <w:right w:val="single" w:sz="6" w:space="0" w:color="000000"/>
            </w:tcBorders>
            <w:shd w:val="clear" w:color="auto" w:fill="FF0000"/>
          </w:tcPr>
          <w:p w14:paraId="02E5777A" w14:textId="77777777" w:rsidR="00541219" w:rsidRDefault="00000000">
            <w:pPr>
              <w:spacing w:after="0"/>
              <w:ind w:left="3" w:firstLine="0"/>
              <w:jc w:val="center"/>
            </w:pPr>
            <w:r>
              <w:rPr>
                <w:color w:val="FFFFFF"/>
                <w:sz w:val="11"/>
              </w:rPr>
              <w:t xml:space="preserve">TEXTO/ANEEL </w:t>
            </w:r>
          </w:p>
        </w:tc>
        <w:tc>
          <w:tcPr>
            <w:tcW w:w="1229" w:type="dxa"/>
            <w:tcBorders>
              <w:top w:val="single" w:sz="6" w:space="0" w:color="000000"/>
              <w:left w:val="single" w:sz="6" w:space="0" w:color="000000"/>
              <w:bottom w:val="double" w:sz="4" w:space="0" w:color="000000"/>
              <w:right w:val="single" w:sz="6" w:space="0" w:color="000000"/>
            </w:tcBorders>
            <w:shd w:val="clear" w:color="auto" w:fill="FF0000"/>
          </w:tcPr>
          <w:p w14:paraId="38253107" w14:textId="77777777" w:rsidR="00541219" w:rsidRDefault="00000000">
            <w:pPr>
              <w:spacing w:after="0"/>
              <w:ind w:left="70" w:firstLine="0"/>
            </w:pPr>
            <w:r>
              <w:rPr>
                <w:color w:val="FFFFFF"/>
                <w:sz w:val="11"/>
              </w:rPr>
              <w:t>TEXTO/INSTITUIÇÃO</w:t>
            </w:r>
          </w:p>
        </w:tc>
        <w:tc>
          <w:tcPr>
            <w:tcW w:w="3691" w:type="dxa"/>
            <w:tcBorders>
              <w:top w:val="single" w:sz="6" w:space="0" w:color="000000"/>
              <w:left w:val="single" w:sz="6" w:space="0" w:color="000000"/>
              <w:bottom w:val="double" w:sz="4" w:space="0" w:color="000000"/>
              <w:right w:val="single" w:sz="6" w:space="0" w:color="000000"/>
            </w:tcBorders>
            <w:shd w:val="clear" w:color="auto" w:fill="FF0000"/>
          </w:tcPr>
          <w:p w14:paraId="05D6ABBF" w14:textId="77777777" w:rsidR="00541219" w:rsidRDefault="00000000">
            <w:pPr>
              <w:spacing w:after="0"/>
              <w:ind w:left="21" w:firstLine="0"/>
              <w:jc w:val="center"/>
            </w:pPr>
            <w:r>
              <w:rPr>
                <w:color w:val="FFFFFF"/>
                <w:sz w:val="11"/>
              </w:rPr>
              <w:t>JUSTIFICATIVA/INSTITUIÇÃO</w:t>
            </w:r>
          </w:p>
        </w:tc>
      </w:tr>
      <w:tr w:rsidR="00541219" w14:paraId="599B9C8E" w14:textId="77777777">
        <w:trPr>
          <w:trHeight w:val="453"/>
        </w:trPr>
        <w:tc>
          <w:tcPr>
            <w:tcW w:w="5344" w:type="dxa"/>
            <w:tcBorders>
              <w:top w:val="double" w:sz="4" w:space="0" w:color="000000"/>
              <w:left w:val="single" w:sz="3" w:space="0" w:color="000000"/>
              <w:bottom w:val="single" w:sz="3" w:space="0" w:color="000000"/>
              <w:right w:val="single" w:sz="3" w:space="0" w:color="000000"/>
            </w:tcBorders>
          </w:tcPr>
          <w:p w14:paraId="41590645" w14:textId="77777777" w:rsidR="00541219" w:rsidRDefault="00000000">
            <w:pPr>
              <w:spacing w:after="0"/>
              <w:ind w:left="0" w:firstLine="0"/>
            </w:pPr>
            <w:r>
              <w:rPr>
                <w:sz w:val="8"/>
              </w:rPr>
              <w:t>245. Já o item “d” traz a possibilidade da adoção de modelos tarifários que tenham dentre seus objetivos o enfrentamento dos desafios de regiões da área de concessão no tocante às perdas não técnicas e à inadimplência, permitindo, assim, utilizar sinais eficientes e harmoniosos de incentivos na regulação econômica e tarifária.</w:t>
            </w:r>
          </w:p>
        </w:tc>
        <w:tc>
          <w:tcPr>
            <w:tcW w:w="1229" w:type="dxa"/>
            <w:tcBorders>
              <w:top w:val="double" w:sz="4" w:space="0" w:color="000000"/>
              <w:left w:val="single" w:sz="3" w:space="0" w:color="000000"/>
              <w:bottom w:val="single" w:sz="3" w:space="0" w:color="000000"/>
              <w:right w:val="single" w:sz="3" w:space="0" w:color="000000"/>
            </w:tcBorders>
            <w:vAlign w:val="center"/>
          </w:tcPr>
          <w:p w14:paraId="0F525445" w14:textId="77777777" w:rsidR="00541219" w:rsidRDefault="00000000">
            <w:pPr>
              <w:spacing w:after="0"/>
              <w:ind w:left="5" w:firstLine="0"/>
            </w:pPr>
            <w:r>
              <w:t>Comentário.</w:t>
            </w:r>
          </w:p>
        </w:tc>
        <w:tc>
          <w:tcPr>
            <w:tcW w:w="3691" w:type="dxa"/>
            <w:tcBorders>
              <w:top w:val="double" w:sz="4" w:space="0" w:color="000000"/>
              <w:left w:val="single" w:sz="3" w:space="0" w:color="000000"/>
              <w:bottom w:val="single" w:sz="3" w:space="0" w:color="000000"/>
              <w:right w:val="single" w:sz="3" w:space="0" w:color="000000"/>
            </w:tcBorders>
          </w:tcPr>
          <w:p w14:paraId="64778E51" w14:textId="77777777" w:rsidR="00541219" w:rsidRDefault="00000000" w:rsidP="002D282F">
            <w:pPr>
              <w:spacing w:after="0"/>
              <w:ind w:left="5" w:firstLine="0"/>
              <w:jc w:val="both"/>
            </w:pPr>
            <w:r>
              <w:t>A grande questão é quem paga por essa tarifa diferenciada. Não pode simplesmente recair sobre os consumidores regulados de baixa tensão.  Essa diferenciação deve ser distribuída a todos os consumidores cativos e livres.</w:t>
            </w:r>
          </w:p>
        </w:tc>
      </w:tr>
      <w:tr w:rsidR="00541219" w14:paraId="010036F9" w14:textId="77777777">
        <w:trPr>
          <w:trHeight w:val="552"/>
        </w:trPr>
        <w:tc>
          <w:tcPr>
            <w:tcW w:w="5344" w:type="dxa"/>
            <w:tcBorders>
              <w:top w:val="single" w:sz="3" w:space="0" w:color="000000"/>
              <w:left w:val="single" w:sz="3" w:space="0" w:color="000000"/>
              <w:bottom w:val="single" w:sz="3" w:space="0" w:color="000000"/>
              <w:right w:val="single" w:sz="3" w:space="0" w:color="000000"/>
            </w:tcBorders>
            <w:vAlign w:val="center"/>
          </w:tcPr>
          <w:p w14:paraId="41D1D957" w14:textId="77777777" w:rsidR="00541219" w:rsidRDefault="00000000">
            <w:pPr>
              <w:spacing w:after="0"/>
              <w:ind w:left="0" w:firstLine="0"/>
            </w:pPr>
            <w:r>
              <w:rPr>
                <w:sz w:val="8"/>
              </w:rPr>
              <w:t>246. Vemos que tratar as particularidades e características de cada área de concessão se alinha com a perspectiva de a distribuidora ter maior participação na definição de sua estrutura tarifária, utilizando então a estrutura tarifária como mais uma ferramenta de gestão para prestação eficiente do serviço público.</w:t>
            </w:r>
          </w:p>
        </w:tc>
        <w:tc>
          <w:tcPr>
            <w:tcW w:w="1229" w:type="dxa"/>
            <w:tcBorders>
              <w:top w:val="single" w:sz="3" w:space="0" w:color="000000"/>
              <w:left w:val="single" w:sz="3" w:space="0" w:color="000000"/>
              <w:bottom w:val="single" w:sz="3" w:space="0" w:color="000000"/>
              <w:right w:val="single" w:sz="3" w:space="0" w:color="000000"/>
            </w:tcBorders>
            <w:vAlign w:val="center"/>
          </w:tcPr>
          <w:p w14:paraId="2A8BABB5"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4B471512" w14:textId="43B3683B" w:rsidR="00541219" w:rsidRDefault="00000000" w:rsidP="002D282F">
            <w:pPr>
              <w:spacing w:after="0"/>
              <w:ind w:left="5" w:right="13" w:firstLine="0"/>
              <w:jc w:val="both"/>
            </w:pPr>
            <w:r>
              <w:t xml:space="preserve">A grande questão é quem paga por essa tarifa diferenciada. Não pode simplesmente recair sobre os consumidores regulados de baixa tensão. Essa definição não deve ser só da distribuidora, mas discutida amplamente com o consumidor através dos Conselhos de Consumidores de Energia Elétrica instituídos pela Lei nº 8.631/1993 </w:t>
            </w:r>
            <w:r w:rsidR="002D282F">
              <w:t>são</w:t>
            </w:r>
            <w:r>
              <w:t xml:space="preserve"> regulados pela REN nº 963/2021.</w:t>
            </w:r>
          </w:p>
        </w:tc>
      </w:tr>
      <w:tr w:rsidR="00541219" w14:paraId="17BD0BF3"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0049A35C" w14:textId="77777777" w:rsidR="00541219" w:rsidRDefault="00000000">
            <w:pPr>
              <w:spacing w:after="0"/>
              <w:ind w:left="0" w:firstLine="0"/>
            </w:pPr>
            <w:r>
              <w:rPr>
                <w:sz w:val="8"/>
              </w:rPr>
              <w:t>247. Outro aspecto a ser considerado é a harmonia entre a regulação econômica e o modelo regulatório aplicado à concessão, a consideração dos riscos de mercado e a regulação tarifária, para que o modelo tarifário aplicado aos usuários possa alcançar os objetivos desejados.</w:t>
            </w:r>
          </w:p>
        </w:tc>
        <w:tc>
          <w:tcPr>
            <w:tcW w:w="4920" w:type="dxa"/>
            <w:gridSpan w:val="2"/>
            <w:tcBorders>
              <w:top w:val="single" w:sz="3" w:space="0" w:color="000000"/>
              <w:left w:val="single" w:sz="3" w:space="0" w:color="000000"/>
              <w:bottom w:val="single" w:sz="3" w:space="0" w:color="000000"/>
              <w:right w:val="nil"/>
            </w:tcBorders>
          </w:tcPr>
          <w:p w14:paraId="240CBD0B" w14:textId="77777777" w:rsidR="00541219" w:rsidRDefault="00541219">
            <w:pPr>
              <w:spacing w:after="160"/>
              <w:ind w:left="0" w:firstLine="0"/>
            </w:pPr>
          </w:p>
        </w:tc>
      </w:tr>
      <w:tr w:rsidR="00541219" w14:paraId="02325039" w14:textId="77777777">
        <w:trPr>
          <w:trHeight w:val="662"/>
        </w:trPr>
        <w:tc>
          <w:tcPr>
            <w:tcW w:w="5344" w:type="dxa"/>
            <w:tcBorders>
              <w:top w:val="single" w:sz="3" w:space="0" w:color="000000"/>
              <w:left w:val="single" w:sz="3" w:space="0" w:color="000000"/>
              <w:bottom w:val="single" w:sz="3" w:space="0" w:color="000000"/>
              <w:right w:val="single" w:sz="3" w:space="0" w:color="000000"/>
            </w:tcBorders>
            <w:vAlign w:val="center"/>
          </w:tcPr>
          <w:p w14:paraId="4A803927" w14:textId="77777777" w:rsidR="00541219" w:rsidRDefault="00000000">
            <w:pPr>
              <w:spacing w:after="0"/>
              <w:ind w:left="0" w:firstLine="0"/>
            </w:pPr>
            <w:r>
              <w:rPr>
                <w:sz w:val="8"/>
              </w:rPr>
              <w:t>248. A modernização das tarifas é necessária diante das inovações tecnológicas, dos novos desafios da distribuição de energia e das questões econômicas e sociais do Brasil. Portanto, é crucial criar um ambiente propício para a atualização e modernização das tarifas, evidenciando uma maior flexibilidade na definição das tarifas e permitindo que a distribuidora utilize a estrutura tarifária como ferramenta de gestão. Do outro lado, cabe o equilíbrio da regulação para garantir os adequados objetivos, o monitoramento dos resultados e a proteção dos direitos dos consumidores e demais usuários.</w:t>
            </w:r>
          </w:p>
        </w:tc>
        <w:tc>
          <w:tcPr>
            <w:tcW w:w="1229" w:type="dxa"/>
            <w:tcBorders>
              <w:top w:val="single" w:sz="3" w:space="0" w:color="000000"/>
              <w:left w:val="single" w:sz="3" w:space="0" w:color="000000"/>
              <w:bottom w:val="single" w:sz="3" w:space="0" w:color="000000"/>
              <w:right w:val="single" w:sz="3" w:space="0" w:color="000000"/>
            </w:tcBorders>
            <w:vAlign w:val="center"/>
          </w:tcPr>
          <w:p w14:paraId="341D58C6"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64E361F8" w14:textId="7A2A7562" w:rsidR="00541219" w:rsidRDefault="00000000" w:rsidP="00E80EBE">
            <w:pPr>
              <w:spacing w:after="0"/>
              <w:ind w:left="5" w:firstLine="0"/>
              <w:jc w:val="both"/>
            </w:pPr>
            <w:r>
              <w:t>Qualquer modelo concorrencial deve ser implementado, contudo os custos da abertura de mercado não podem recair totalmente no consumidor cativo como ocorre atualmente</w:t>
            </w:r>
            <w:r w:rsidR="00E80EBE">
              <w:t>. A</w:t>
            </w:r>
            <w:r>
              <w:t>ntes de flexibilizar é necessário que sejam aprovados instrumentos regulatórios para que todos tenham iguais responsabilidades sobre os custos, seja o mercado cativo, seja o mercado livre.</w:t>
            </w:r>
          </w:p>
        </w:tc>
      </w:tr>
      <w:tr w:rsidR="00541219" w14:paraId="7DB038A2"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5F3C481D" w14:textId="77777777" w:rsidR="00541219" w:rsidRDefault="00000000">
            <w:pPr>
              <w:spacing w:after="0"/>
              <w:ind w:left="0" w:firstLine="0"/>
            </w:pPr>
            <w:r>
              <w:rPr>
                <w:sz w:val="8"/>
              </w:rPr>
              <w:t>249. Devido a transição energética, em um cenário com uso de mais tecnologia tanto pela distribuidora quanto pelo usuário, a diferenciação tarifária torna-se um vetor fundamental para a alocação eficiente de custos e benefícios. A diferenciação tarifária também pode ser usada para promover a inclusão energética, se a política pública assim definir. Tarifas diferenciadas podem ser utilizadas como recurso para reduzir a necessidade de investimentos, otimizar recursos energéticos e elétricos, combater perdas não técnicas e a inadimplência.</w:t>
            </w:r>
          </w:p>
        </w:tc>
        <w:tc>
          <w:tcPr>
            <w:tcW w:w="4920" w:type="dxa"/>
            <w:gridSpan w:val="2"/>
            <w:vMerge w:val="restart"/>
            <w:tcBorders>
              <w:top w:val="single" w:sz="3" w:space="0" w:color="000000"/>
              <w:left w:val="single" w:sz="3" w:space="0" w:color="000000"/>
              <w:bottom w:val="single" w:sz="3" w:space="0" w:color="000000"/>
              <w:right w:val="nil"/>
            </w:tcBorders>
          </w:tcPr>
          <w:p w14:paraId="26A75D3A" w14:textId="77777777" w:rsidR="00541219" w:rsidRDefault="00541219">
            <w:pPr>
              <w:spacing w:after="160"/>
              <w:ind w:left="0" w:firstLine="0"/>
            </w:pPr>
          </w:p>
        </w:tc>
      </w:tr>
      <w:tr w:rsidR="00541219" w14:paraId="70BB9D28"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6C799263" w14:textId="77777777" w:rsidR="00541219" w:rsidRDefault="00000000">
            <w:pPr>
              <w:spacing w:after="0"/>
              <w:ind w:left="0" w:right="89" w:firstLine="0"/>
              <w:jc w:val="both"/>
            </w:pPr>
            <w:r>
              <w:rPr>
                <w:sz w:val="8"/>
              </w:rPr>
              <w:t xml:space="preserve">250. Neste sentido, sugere-se que sejam revisados termos constantes no atual Contrato, para permitir uma maior flexibilização na aplicação de tarifas diferenciadas </w:t>
            </w:r>
            <w:proofErr w:type="gramStart"/>
            <w:r>
              <w:rPr>
                <w:sz w:val="8"/>
              </w:rPr>
              <w:t>e também</w:t>
            </w:r>
            <w:proofErr w:type="gramEnd"/>
            <w:r>
              <w:rPr>
                <w:sz w:val="8"/>
              </w:rPr>
              <w:t xml:space="preserve"> a inclusão de um parágrafo na subcláusula da cláusula sexta que alinhe os conceitos de diferenciação tarifária e isonomia tarifária, uma vez que ambos os conceitos não são excludentes ou conflitantes.</w:t>
            </w:r>
          </w:p>
        </w:tc>
        <w:tc>
          <w:tcPr>
            <w:tcW w:w="0" w:type="auto"/>
            <w:gridSpan w:val="2"/>
            <w:vMerge/>
            <w:tcBorders>
              <w:top w:val="nil"/>
              <w:left w:val="single" w:sz="3" w:space="0" w:color="000000"/>
              <w:bottom w:val="nil"/>
              <w:right w:val="nil"/>
            </w:tcBorders>
          </w:tcPr>
          <w:p w14:paraId="0EF1E3C4" w14:textId="77777777" w:rsidR="00541219" w:rsidRDefault="00541219">
            <w:pPr>
              <w:spacing w:after="160"/>
              <w:ind w:left="0" w:firstLine="0"/>
            </w:pPr>
          </w:p>
        </w:tc>
      </w:tr>
      <w:tr w:rsidR="00541219" w14:paraId="09581076"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68890842" w14:textId="77777777" w:rsidR="00541219" w:rsidRDefault="00000000">
            <w:pPr>
              <w:spacing w:after="0"/>
              <w:ind w:left="0" w:right="15" w:firstLine="0"/>
            </w:pPr>
            <w:r>
              <w:rPr>
                <w:sz w:val="8"/>
              </w:rPr>
              <w:t xml:space="preserve">251. Propõe-se incluir uma nova subcláusula na Cláusula Sexta, permitindo que as tarifas homologadas pela ANEEL possam ser diferenciadas em função de critérios técnicos, locacionais, de qualidade, </w:t>
            </w:r>
            <w:proofErr w:type="gramStart"/>
            <w:r>
              <w:rPr>
                <w:sz w:val="8"/>
              </w:rPr>
              <w:t>e também</w:t>
            </w:r>
            <w:proofErr w:type="gramEnd"/>
            <w:r>
              <w:rPr>
                <w:sz w:val="8"/>
              </w:rPr>
              <w:t xml:space="preserve"> que possam ser definidos, inclusive definindo tarifas específicas para regiões de elevada incidência de perda não técnica e/ou inadimplência.</w:t>
            </w:r>
          </w:p>
        </w:tc>
        <w:tc>
          <w:tcPr>
            <w:tcW w:w="0" w:type="auto"/>
            <w:gridSpan w:val="2"/>
            <w:vMerge/>
            <w:tcBorders>
              <w:top w:val="nil"/>
              <w:left w:val="single" w:sz="3" w:space="0" w:color="000000"/>
              <w:bottom w:val="nil"/>
              <w:right w:val="nil"/>
            </w:tcBorders>
          </w:tcPr>
          <w:p w14:paraId="6C0EA836" w14:textId="77777777" w:rsidR="00541219" w:rsidRDefault="00541219">
            <w:pPr>
              <w:spacing w:after="160"/>
              <w:ind w:left="0" w:firstLine="0"/>
            </w:pPr>
          </w:p>
        </w:tc>
      </w:tr>
      <w:tr w:rsidR="00541219" w14:paraId="284884EB"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127C47A0" w14:textId="77777777" w:rsidR="00541219" w:rsidRDefault="00000000">
            <w:pPr>
              <w:spacing w:after="0"/>
              <w:ind w:left="497" w:firstLine="0"/>
            </w:pPr>
            <w:r>
              <w:rPr>
                <w:sz w:val="8"/>
              </w:rPr>
              <w:t xml:space="preserve">     Subcláusula Décima Nona – A Receita Requerida será decomposta em tarifas a serem cobradas dos usuários, mediante metodologia de estrutura tarifária aprovada pela ANEEL, que considerará eventuais descontos tarifários definidos na legislação setorial.</w:t>
            </w:r>
          </w:p>
        </w:tc>
        <w:tc>
          <w:tcPr>
            <w:tcW w:w="0" w:type="auto"/>
            <w:gridSpan w:val="2"/>
            <w:vMerge/>
            <w:tcBorders>
              <w:top w:val="nil"/>
              <w:left w:val="single" w:sz="3" w:space="0" w:color="000000"/>
              <w:bottom w:val="nil"/>
              <w:right w:val="nil"/>
            </w:tcBorders>
          </w:tcPr>
          <w:p w14:paraId="44D486E9" w14:textId="77777777" w:rsidR="00541219" w:rsidRDefault="00541219">
            <w:pPr>
              <w:spacing w:after="160"/>
              <w:ind w:left="0" w:firstLine="0"/>
            </w:pPr>
          </w:p>
        </w:tc>
      </w:tr>
      <w:tr w:rsidR="00541219" w14:paraId="109169E8"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011FF0E9" w14:textId="77777777" w:rsidR="00541219" w:rsidRDefault="00000000">
            <w:pPr>
              <w:spacing w:after="0"/>
              <w:ind w:left="497" w:firstLine="0"/>
            </w:pPr>
            <w:r>
              <w:rPr>
                <w:sz w:val="8"/>
              </w:rPr>
              <w:t xml:space="preserve">     Subcláusula Vigésima Primeira – A estrutura tarifária poderá permitir diferenciação tarifária considerando:</w:t>
            </w:r>
          </w:p>
        </w:tc>
        <w:tc>
          <w:tcPr>
            <w:tcW w:w="0" w:type="auto"/>
            <w:gridSpan w:val="2"/>
            <w:vMerge/>
            <w:tcBorders>
              <w:top w:val="nil"/>
              <w:left w:val="single" w:sz="3" w:space="0" w:color="000000"/>
              <w:bottom w:val="single" w:sz="3" w:space="0" w:color="000000"/>
              <w:right w:val="nil"/>
            </w:tcBorders>
          </w:tcPr>
          <w:p w14:paraId="4169BD56" w14:textId="77777777" w:rsidR="00541219" w:rsidRDefault="00541219">
            <w:pPr>
              <w:spacing w:after="160"/>
              <w:ind w:left="0" w:firstLine="0"/>
            </w:pPr>
          </w:p>
        </w:tc>
      </w:tr>
      <w:tr w:rsidR="00541219" w14:paraId="36E1EFAF" w14:textId="77777777">
        <w:trPr>
          <w:trHeight w:val="662"/>
        </w:trPr>
        <w:tc>
          <w:tcPr>
            <w:tcW w:w="5344" w:type="dxa"/>
            <w:tcBorders>
              <w:top w:val="single" w:sz="3" w:space="0" w:color="000000"/>
              <w:left w:val="single" w:sz="3" w:space="0" w:color="000000"/>
              <w:bottom w:val="single" w:sz="3" w:space="0" w:color="000000"/>
              <w:right w:val="single" w:sz="3" w:space="0" w:color="000000"/>
            </w:tcBorders>
            <w:vAlign w:val="center"/>
          </w:tcPr>
          <w:p w14:paraId="3598AA2C" w14:textId="77777777" w:rsidR="00541219" w:rsidRDefault="00000000">
            <w:pPr>
              <w:spacing w:after="0"/>
              <w:ind w:left="0" w:right="45" w:firstLine="0"/>
              <w:jc w:val="right"/>
            </w:pPr>
            <w:r>
              <w:rPr>
                <w:sz w:val="8"/>
              </w:rPr>
              <w:t xml:space="preserve">     I – </w:t>
            </w:r>
            <w:proofErr w:type="gramStart"/>
            <w:r>
              <w:rPr>
                <w:sz w:val="8"/>
              </w:rPr>
              <w:t>critérios</w:t>
            </w:r>
            <w:proofErr w:type="gramEnd"/>
            <w:r>
              <w:rPr>
                <w:sz w:val="8"/>
              </w:rPr>
              <w:t xml:space="preserve"> técnicos, locacionais, de qualidade e custos específicos de atendimento aos distintos segmentos de usuários, </w:t>
            </w:r>
            <w:r>
              <w:rPr>
                <w:rFonts w:ascii="Calibri" w:eastAsia="Calibri" w:hAnsi="Calibri" w:cs="Calibri"/>
                <w:noProof/>
                <w:sz w:val="22"/>
              </w:rPr>
              <mc:AlternateContent>
                <mc:Choice Requires="wpg">
                  <w:drawing>
                    <wp:inline distT="0" distB="0" distL="0" distR="0" wp14:anchorId="69694205" wp14:editId="0616A7BD">
                      <wp:extent cx="2709672" cy="66724"/>
                      <wp:effectExtent l="0" t="0" r="0" b="0"/>
                      <wp:docPr id="127913" name="Group 127913"/>
                      <wp:cNvGraphicFramePr/>
                      <a:graphic xmlns:a="http://schemas.openxmlformats.org/drawingml/2006/main">
                        <a:graphicData uri="http://schemas.microsoft.com/office/word/2010/wordprocessingGroup">
                          <wpg:wgp>
                            <wpg:cNvGrpSpPr/>
                            <wpg:grpSpPr>
                              <a:xfrm>
                                <a:off x="0" y="0"/>
                                <a:ext cx="2709672" cy="66724"/>
                                <a:chOff x="0" y="0"/>
                                <a:chExt cx="2709672" cy="66724"/>
                              </a:xfrm>
                            </wpg:grpSpPr>
                            <wps:wsp>
                              <wps:cNvPr id="135622" name="Shape 135622"/>
                              <wps:cNvSpPr/>
                              <wps:spPr>
                                <a:xfrm>
                                  <a:off x="0" y="0"/>
                                  <a:ext cx="2709672" cy="9144"/>
                                </a:xfrm>
                                <a:custGeom>
                                  <a:avLst/>
                                  <a:gdLst/>
                                  <a:ahLst/>
                                  <a:cxnLst/>
                                  <a:rect l="0" t="0" r="0" b="0"/>
                                  <a:pathLst>
                                    <a:path w="2709672" h="9144">
                                      <a:moveTo>
                                        <a:pt x="0" y="0"/>
                                      </a:moveTo>
                                      <a:lnTo>
                                        <a:pt x="2709672" y="0"/>
                                      </a:lnTo>
                                      <a:lnTo>
                                        <a:pt x="27096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02" name="Rectangle 3702"/>
                              <wps:cNvSpPr/>
                              <wps:spPr>
                                <a:xfrm>
                                  <a:off x="0" y="20883"/>
                                  <a:ext cx="54042" cy="60969"/>
                                </a:xfrm>
                                <a:prstGeom prst="rect">
                                  <a:avLst/>
                                </a:prstGeom>
                                <a:ln>
                                  <a:noFill/>
                                </a:ln>
                              </wps:spPr>
                              <wps:txbx>
                                <w:txbxContent>
                                  <w:p w14:paraId="4BC78B24" w14:textId="77777777" w:rsidR="00541219" w:rsidRDefault="00000000">
                                    <w:pPr>
                                      <w:spacing w:after="160"/>
                                      <w:ind w:left="0" w:firstLine="0"/>
                                    </w:pPr>
                                    <w:r>
                                      <w:rPr>
                                        <w:w w:val="115"/>
                                        <w:sz w:val="8"/>
                                      </w:rPr>
                                      <w:t>e;</w:t>
                                    </w:r>
                                  </w:p>
                                </w:txbxContent>
                              </wps:txbx>
                              <wps:bodyPr horzOverflow="overflow" vert="horz" lIns="0" tIns="0" rIns="0" bIns="0" rtlCol="0">
                                <a:noAutofit/>
                              </wps:bodyPr>
                            </wps:wsp>
                            <wps:wsp>
                              <wps:cNvPr id="135625" name="Shape 135625"/>
                              <wps:cNvSpPr/>
                              <wps:spPr>
                                <a:xfrm>
                                  <a:off x="0" y="60960"/>
                                  <a:ext cx="41148" cy="9144"/>
                                </a:xfrm>
                                <a:custGeom>
                                  <a:avLst/>
                                  <a:gdLst/>
                                  <a:ahLst/>
                                  <a:cxnLst/>
                                  <a:rect l="0" t="0" r="0" b="0"/>
                                  <a:pathLst>
                                    <a:path w="41148" h="9144">
                                      <a:moveTo>
                                        <a:pt x="0" y="0"/>
                                      </a:moveTo>
                                      <a:lnTo>
                                        <a:pt x="41148" y="0"/>
                                      </a:lnTo>
                                      <a:lnTo>
                                        <a:pt x="411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27913" style="width:213.36pt;height:5.25388pt;mso-position-horizontal-relative:char;mso-position-vertical-relative:line" coordsize="27096,667">
                      <v:shape id="Shape 135626" style="position:absolute;width:27096;height:91;left:0;top:0;" coordsize="2709672,9144" path="m0,0l2709672,0l2709672,9144l0,9144l0,0">
                        <v:stroke weight="0pt" endcap="flat" joinstyle="miter" miterlimit="10" on="false" color="#000000" opacity="0"/>
                        <v:fill on="true" color="#000000"/>
                      </v:shape>
                      <v:rect id="Rectangle 3702" style="position:absolute;width:540;height:609;left:0;top:208;" filled="f" stroked="f">
                        <v:textbox inset="0,0,0,0">
                          <w:txbxContent>
                            <w:p>
                              <w:pPr>
                                <w:spacing w:before="0" w:after="160" w:line="259" w:lineRule="auto"/>
                                <w:ind w:left="0" w:firstLine="0"/>
                              </w:pPr>
                              <w:r>
                                <w:rPr>
                                  <w:rFonts w:cs="Times New Roman" w:hAnsi="Times New Roman" w:eastAsia="Times New Roman" w:ascii="Times New Roman"/>
                                  <w:w w:val="115"/>
                                  <w:sz w:val="8"/>
                                </w:rPr>
                                <w:t xml:space="preserve">e;</w:t>
                              </w:r>
                            </w:p>
                          </w:txbxContent>
                        </v:textbox>
                      </v:rect>
                      <v:shape id="Shape 135629" style="position:absolute;width:411;height:91;left:0;top:609;" coordsize="41148,9144" path="m0,0l41148,0l41148,9144l0,9144l0,0">
                        <v:stroke weight="0pt" endcap="flat" joinstyle="miter" miterlimit="10" on="false" color="#000000" opacity="0"/>
                        <v:fill on="true" color="#000000"/>
                      </v:shape>
                    </v:group>
                  </w:pict>
                </mc:Fallback>
              </mc:AlternateContent>
            </w:r>
          </w:p>
        </w:tc>
        <w:tc>
          <w:tcPr>
            <w:tcW w:w="1229" w:type="dxa"/>
            <w:tcBorders>
              <w:top w:val="single" w:sz="3" w:space="0" w:color="000000"/>
              <w:left w:val="single" w:sz="3" w:space="0" w:color="000000"/>
              <w:bottom w:val="single" w:sz="3" w:space="0" w:color="000000"/>
              <w:right w:val="single" w:sz="3" w:space="0" w:color="000000"/>
            </w:tcBorders>
            <w:vAlign w:val="center"/>
          </w:tcPr>
          <w:p w14:paraId="3CC51900"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705CE59F" w14:textId="62284BCE" w:rsidR="00541219" w:rsidRDefault="00000000">
            <w:pPr>
              <w:spacing w:after="0"/>
              <w:ind w:left="5" w:firstLine="0"/>
            </w:pPr>
            <w:r>
              <w:t>Qualquer modelo concorrencial deve ser implementado, contudo os custos da abertura de mercado não podem recair totalmente no consumidor cativo como ocorre atualmente</w:t>
            </w:r>
            <w:r w:rsidR="00E80EBE">
              <w:t>. A</w:t>
            </w:r>
            <w:r>
              <w:t>ntes de flexibilizar é necessário que sejam aprovados instrumentos regulatórios para que todos tenham iguais responsabilidades sobre os custos, seja o mercado cativo, seja o mercado livre.</w:t>
            </w:r>
          </w:p>
        </w:tc>
      </w:tr>
      <w:tr w:rsidR="00541219" w14:paraId="4A1720D5" w14:textId="77777777">
        <w:trPr>
          <w:trHeight w:val="442"/>
        </w:trPr>
        <w:tc>
          <w:tcPr>
            <w:tcW w:w="5344" w:type="dxa"/>
            <w:tcBorders>
              <w:top w:val="single" w:sz="3" w:space="0" w:color="000000"/>
              <w:left w:val="single" w:sz="3" w:space="0" w:color="000000"/>
              <w:bottom w:val="single" w:sz="3" w:space="0" w:color="000000"/>
              <w:right w:val="single" w:sz="3" w:space="0" w:color="000000"/>
            </w:tcBorders>
            <w:vAlign w:val="center"/>
          </w:tcPr>
          <w:p w14:paraId="14B4EE35" w14:textId="77777777" w:rsidR="00541219" w:rsidRDefault="00000000">
            <w:pPr>
              <w:spacing w:after="0"/>
              <w:ind w:left="994" w:firstLine="0"/>
            </w:pPr>
            <w:r>
              <w:rPr>
                <w:rFonts w:ascii="Calibri" w:eastAsia="Calibri" w:hAnsi="Calibri" w:cs="Calibri"/>
                <w:noProof/>
                <w:sz w:val="22"/>
              </w:rPr>
              <mc:AlternateContent>
                <mc:Choice Requires="wpg">
                  <w:drawing>
                    <wp:anchor distT="0" distB="0" distL="114300" distR="114300" simplePos="0" relativeHeight="251660288" behindDoc="1" locked="0" layoutInCell="1" allowOverlap="1" wp14:anchorId="2E2DC30C" wp14:editId="2CA05E7B">
                      <wp:simplePos x="0" y="0"/>
                      <wp:positionH relativeFrom="column">
                        <wp:posOffset>642747</wp:posOffset>
                      </wp:positionH>
                      <wp:positionV relativeFrom="paragraph">
                        <wp:posOffset>40077</wp:posOffset>
                      </wp:positionV>
                      <wp:extent cx="2476500" cy="3048"/>
                      <wp:effectExtent l="0" t="0" r="0" b="0"/>
                      <wp:wrapNone/>
                      <wp:docPr id="128003" name="Group 128003"/>
                      <wp:cNvGraphicFramePr/>
                      <a:graphic xmlns:a="http://schemas.openxmlformats.org/drawingml/2006/main">
                        <a:graphicData uri="http://schemas.microsoft.com/office/word/2010/wordprocessingGroup">
                          <wpg:wgp>
                            <wpg:cNvGrpSpPr/>
                            <wpg:grpSpPr>
                              <a:xfrm>
                                <a:off x="0" y="0"/>
                                <a:ext cx="2476500" cy="3048"/>
                                <a:chOff x="0" y="0"/>
                                <a:chExt cx="2476500" cy="3048"/>
                              </a:xfrm>
                            </wpg:grpSpPr>
                            <wps:wsp>
                              <wps:cNvPr id="135630" name="Shape 135630"/>
                              <wps:cNvSpPr/>
                              <wps:spPr>
                                <a:xfrm>
                                  <a:off x="0" y="0"/>
                                  <a:ext cx="2476500" cy="9144"/>
                                </a:xfrm>
                                <a:custGeom>
                                  <a:avLst/>
                                  <a:gdLst/>
                                  <a:ahLst/>
                                  <a:cxnLst/>
                                  <a:rect l="0" t="0" r="0" b="0"/>
                                  <a:pathLst>
                                    <a:path w="2476500" h="9144">
                                      <a:moveTo>
                                        <a:pt x="0" y="0"/>
                                      </a:moveTo>
                                      <a:lnTo>
                                        <a:pt x="2476500" y="0"/>
                                      </a:lnTo>
                                      <a:lnTo>
                                        <a:pt x="2476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28003" style="width:195pt;height:0.23999pt;position:absolute;z-index:-2147483557;mso-position-horizontal-relative:text;mso-position-horizontal:absolute;margin-left:50.61pt;mso-position-vertical-relative:text;margin-top:3.15567pt;" coordsize="24765,30">
                      <v:shape id="Shape 135631" style="position:absolute;width:24765;height:91;left:0;top:0;" coordsize="2476500,9144" path="m0,0l2476500,0l2476500,9144l0,9144l0,0">
                        <v:stroke weight="0pt" endcap="flat" joinstyle="miter" miterlimit="10" on="false" color="#000000" opacity="0"/>
                        <v:fill on="true" color="#000000"/>
                      </v:shape>
                    </v:group>
                  </w:pict>
                </mc:Fallback>
              </mc:AlternateContent>
            </w:r>
            <w:r>
              <w:rPr>
                <w:sz w:val="8"/>
              </w:rPr>
              <w:t xml:space="preserve">     II – áreas de elevada complexidade ao combate às perdas não técnicas e de elevada inadimplência. (inclusão)</w:t>
            </w:r>
          </w:p>
        </w:tc>
        <w:tc>
          <w:tcPr>
            <w:tcW w:w="1229" w:type="dxa"/>
            <w:tcBorders>
              <w:top w:val="single" w:sz="3" w:space="0" w:color="000000"/>
              <w:left w:val="single" w:sz="3" w:space="0" w:color="000000"/>
              <w:bottom w:val="single" w:sz="3" w:space="0" w:color="000000"/>
              <w:right w:val="single" w:sz="3" w:space="0" w:color="000000"/>
            </w:tcBorders>
            <w:vAlign w:val="center"/>
          </w:tcPr>
          <w:p w14:paraId="7C2334BA"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6DAABCBA" w14:textId="77777777" w:rsidR="00541219" w:rsidRDefault="00000000" w:rsidP="004D0050">
            <w:pPr>
              <w:spacing w:after="0"/>
              <w:ind w:left="5" w:firstLine="0"/>
              <w:jc w:val="both"/>
            </w:pPr>
            <w:r>
              <w:t xml:space="preserve">Os incentivos à gestão do combate a Perdas Não Técnicas e Inadimplência também não podem recair exclusivamente sobre o mercado cativo de baixa tesão, deve ser dividido com todos os consumidores, sejam do Grupo A sejam do Grupo B, </w:t>
            </w:r>
            <w:proofErr w:type="gramStart"/>
            <w:r>
              <w:t>e também</w:t>
            </w:r>
            <w:proofErr w:type="gramEnd"/>
            <w:r>
              <w:t xml:space="preserve"> o poder público.</w:t>
            </w:r>
          </w:p>
        </w:tc>
      </w:tr>
      <w:tr w:rsidR="00541219" w14:paraId="4BC672C1" w14:textId="77777777">
        <w:trPr>
          <w:trHeight w:val="151"/>
        </w:trPr>
        <w:tc>
          <w:tcPr>
            <w:tcW w:w="5344" w:type="dxa"/>
            <w:tcBorders>
              <w:top w:val="single" w:sz="3" w:space="0" w:color="000000"/>
              <w:left w:val="single" w:sz="3" w:space="0" w:color="000000"/>
              <w:bottom w:val="double" w:sz="3" w:space="0" w:color="000000"/>
              <w:right w:val="single" w:sz="3" w:space="0" w:color="000000"/>
            </w:tcBorders>
          </w:tcPr>
          <w:p w14:paraId="74536F8E" w14:textId="77777777" w:rsidR="00541219" w:rsidRDefault="00000000">
            <w:pPr>
              <w:spacing w:after="0"/>
              <w:ind w:left="0" w:firstLine="0"/>
            </w:pPr>
            <w:r>
              <w:rPr>
                <w:sz w:val="8"/>
              </w:rPr>
              <w:t>252. Destaca-se que na proposta de inclusão utilizam-se os comandos constantes no Decreto nº 12.068/2024 e na Lei nº 8.897/1995 (art. 13).</w:t>
            </w:r>
          </w:p>
        </w:tc>
        <w:tc>
          <w:tcPr>
            <w:tcW w:w="4920" w:type="dxa"/>
            <w:gridSpan w:val="2"/>
            <w:vMerge w:val="restart"/>
            <w:tcBorders>
              <w:top w:val="single" w:sz="3" w:space="0" w:color="000000"/>
              <w:left w:val="single" w:sz="3" w:space="0" w:color="000000"/>
              <w:bottom w:val="single" w:sz="3" w:space="0" w:color="000000"/>
              <w:right w:val="nil"/>
            </w:tcBorders>
          </w:tcPr>
          <w:p w14:paraId="3FEB952B" w14:textId="77777777" w:rsidR="00541219" w:rsidRDefault="00541219">
            <w:pPr>
              <w:spacing w:after="160"/>
              <w:ind w:left="0" w:firstLine="0"/>
            </w:pPr>
          </w:p>
        </w:tc>
      </w:tr>
      <w:tr w:rsidR="00541219" w14:paraId="597D0007" w14:textId="77777777">
        <w:trPr>
          <w:trHeight w:val="245"/>
        </w:trPr>
        <w:tc>
          <w:tcPr>
            <w:tcW w:w="5344" w:type="dxa"/>
            <w:tcBorders>
              <w:top w:val="double" w:sz="3" w:space="0" w:color="000000"/>
              <w:left w:val="single" w:sz="3" w:space="0" w:color="000000"/>
              <w:bottom w:val="single" w:sz="3" w:space="0" w:color="000000"/>
              <w:right w:val="single" w:sz="3" w:space="0" w:color="000000"/>
            </w:tcBorders>
          </w:tcPr>
          <w:p w14:paraId="172D31AE" w14:textId="77777777" w:rsidR="00541219" w:rsidRDefault="00000000">
            <w:pPr>
              <w:spacing w:after="0"/>
              <w:ind w:left="2" w:firstLine="0"/>
            </w:pPr>
            <w:r>
              <w:t>III.1.11 – Propostas adicionais de aprimoramento</w:t>
            </w:r>
          </w:p>
          <w:p w14:paraId="3BD79257" w14:textId="77777777" w:rsidR="00541219" w:rsidRDefault="00000000">
            <w:pPr>
              <w:spacing w:after="0"/>
              <w:ind w:left="0" w:firstLine="0"/>
            </w:pPr>
            <w:r>
              <w:rPr>
                <w:sz w:val="8"/>
              </w:rPr>
              <w:t>253. A proposta elaborada para a nova minuta do termo aditivo ao contrato de concessão contempla outros aprimoramentos não determinados pelo Decreto nº 12.068, de 20 de junho de 2024.</w:t>
            </w:r>
          </w:p>
        </w:tc>
        <w:tc>
          <w:tcPr>
            <w:tcW w:w="0" w:type="auto"/>
            <w:gridSpan w:val="2"/>
            <w:vMerge/>
            <w:tcBorders>
              <w:top w:val="nil"/>
              <w:left w:val="single" w:sz="3" w:space="0" w:color="000000"/>
              <w:bottom w:val="nil"/>
              <w:right w:val="nil"/>
            </w:tcBorders>
          </w:tcPr>
          <w:p w14:paraId="5815DAF0" w14:textId="77777777" w:rsidR="00541219" w:rsidRDefault="00541219">
            <w:pPr>
              <w:spacing w:after="160"/>
              <w:ind w:left="0" w:firstLine="0"/>
            </w:pPr>
          </w:p>
        </w:tc>
      </w:tr>
      <w:tr w:rsidR="00541219" w14:paraId="0ED43AA1"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2B76FA64" w14:textId="77777777" w:rsidR="00541219" w:rsidRDefault="00000000">
            <w:pPr>
              <w:spacing w:after="0"/>
              <w:ind w:left="0" w:firstLine="0"/>
            </w:pPr>
            <w:r>
              <w:rPr>
                <w:sz w:val="8"/>
              </w:rPr>
              <w:t>254. Entre eles, há proposta de criação de nova Cláusula contratual para estabelecimento da Consulta aos Usuários, que será tratada a seguir.</w:t>
            </w:r>
          </w:p>
        </w:tc>
        <w:tc>
          <w:tcPr>
            <w:tcW w:w="0" w:type="auto"/>
            <w:gridSpan w:val="2"/>
            <w:vMerge/>
            <w:tcBorders>
              <w:top w:val="nil"/>
              <w:left w:val="single" w:sz="3" w:space="0" w:color="000000"/>
              <w:bottom w:val="nil"/>
              <w:right w:val="nil"/>
            </w:tcBorders>
          </w:tcPr>
          <w:p w14:paraId="0E708CBF" w14:textId="77777777" w:rsidR="00541219" w:rsidRDefault="00541219">
            <w:pPr>
              <w:spacing w:after="160"/>
              <w:ind w:left="0" w:firstLine="0"/>
            </w:pPr>
          </w:p>
        </w:tc>
      </w:tr>
      <w:tr w:rsidR="00541219" w14:paraId="66E2FDE6"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7ED9F1A6" w14:textId="77777777" w:rsidR="00541219" w:rsidRDefault="00000000">
            <w:pPr>
              <w:spacing w:after="0"/>
              <w:ind w:left="0" w:firstLine="0"/>
            </w:pPr>
            <w:r>
              <w:rPr>
                <w:sz w:val="8"/>
              </w:rPr>
              <w:t>255. O Decreto traz, em seu art. 4o, as diretrizes mínimas a serem utilizadas para definição do contrato de concessão. Entre elas, estão:</w:t>
            </w:r>
          </w:p>
        </w:tc>
        <w:tc>
          <w:tcPr>
            <w:tcW w:w="0" w:type="auto"/>
            <w:gridSpan w:val="2"/>
            <w:vMerge/>
            <w:tcBorders>
              <w:top w:val="nil"/>
              <w:left w:val="single" w:sz="3" w:space="0" w:color="000000"/>
              <w:bottom w:val="single" w:sz="3" w:space="0" w:color="000000"/>
              <w:right w:val="nil"/>
            </w:tcBorders>
          </w:tcPr>
          <w:p w14:paraId="0A18723B" w14:textId="77777777" w:rsidR="00541219" w:rsidRDefault="00541219">
            <w:pPr>
              <w:spacing w:after="160"/>
              <w:ind w:left="0" w:firstLine="0"/>
            </w:pPr>
          </w:p>
        </w:tc>
      </w:tr>
      <w:tr w:rsidR="00541219" w14:paraId="752CF432" w14:textId="77777777">
        <w:trPr>
          <w:trHeight w:val="221"/>
        </w:trPr>
        <w:tc>
          <w:tcPr>
            <w:tcW w:w="5344" w:type="dxa"/>
            <w:tcBorders>
              <w:top w:val="single" w:sz="3" w:space="0" w:color="000000"/>
              <w:left w:val="single" w:sz="3" w:space="0" w:color="000000"/>
              <w:bottom w:val="single" w:sz="3" w:space="0" w:color="000000"/>
              <w:right w:val="single" w:sz="3" w:space="0" w:color="000000"/>
            </w:tcBorders>
          </w:tcPr>
          <w:p w14:paraId="2D3350CC" w14:textId="77777777" w:rsidR="00541219" w:rsidRDefault="00000000">
            <w:pPr>
              <w:spacing w:after="0"/>
              <w:ind w:left="0" w:right="53" w:firstLine="0"/>
              <w:jc w:val="right"/>
            </w:pPr>
            <w:r>
              <w:rPr>
                <w:sz w:val="8"/>
              </w:rPr>
              <w:t xml:space="preserve">     III - satisfação dos usuários, por meio da apuração de indicadores de tempo de atendimento de serviços e pesquisas de opinião pública;</w:t>
            </w:r>
          </w:p>
        </w:tc>
        <w:tc>
          <w:tcPr>
            <w:tcW w:w="1229" w:type="dxa"/>
            <w:tcBorders>
              <w:top w:val="single" w:sz="3" w:space="0" w:color="000000"/>
              <w:left w:val="single" w:sz="3" w:space="0" w:color="000000"/>
              <w:bottom w:val="single" w:sz="3" w:space="0" w:color="000000"/>
              <w:right w:val="single" w:sz="3" w:space="0" w:color="000000"/>
            </w:tcBorders>
          </w:tcPr>
          <w:p w14:paraId="24AF7FB2"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7BC2A47B" w14:textId="77777777" w:rsidR="00541219" w:rsidRDefault="00000000">
            <w:pPr>
              <w:spacing w:after="0"/>
              <w:ind w:left="5" w:firstLine="0"/>
            </w:pPr>
            <w:r>
              <w:t>Sempre importante reforçar o uso da palavra "consumidor" em consonância à lei 8.078/1990 CDC.</w:t>
            </w:r>
          </w:p>
        </w:tc>
      </w:tr>
      <w:tr w:rsidR="00541219" w14:paraId="5A8AD4CB" w14:textId="77777777">
        <w:trPr>
          <w:trHeight w:val="331"/>
        </w:trPr>
        <w:tc>
          <w:tcPr>
            <w:tcW w:w="5344" w:type="dxa"/>
            <w:tcBorders>
              <w:top w:val="single" w:sz="3" w:space="0" w:color="000000"/>
              <w:left w:val="single" w:sz="3" w:space="0" w:color="000000"/>
              <w:bottom w:val="single" w:sz="3" w:space="0" w:color="000000"/>
              <w:right w:val="single" w:sz="3" w:space="0" w:color="000000"/>
            </w:tcBorders>
            <w:vAlign w:val="center"/>
          </w:tcPr>
          <w:p w14:paraId="58A1298F" w14:textId="77777777" w:rsidR="00541219" w:rsidRDefault="00000000">
            <w:pPr>
              <w:spacing w:after="0"/>
              <w:ind w:left="497" w:firstLine="0"/>
            </w:pPr>
            <w:r>
              <w:rPr>
                <w:sz w:val="8"/>
              </w:rPr>
              <w:t xml:space="preserve">     IV - </w:t>
            </w:r>
            <w:proofErr w:type="gramStart"/>
            <w:r>
              <w:rPr>
                <w:sz w:val="8"/>
              </w:rPr>
              <w:t>investimento</w:t>
            </w:r>
            <w:proofErr w:type="gramEnd"/>
            <w:r>
              <w:rPr>
                <w:sz w:val="8"/>
              </w:rPr>
              <w:t xml:space="preserve"> prudente;</w:t>
            </w:r>
          </w:p>
        </w:tc>
        <w:tc>
          <w:tcPr>
            <w:tcW w:w="1229" w:type="dxa"/>
            <w:tcBorders>
              <w:top w:val="single" w:sz="3" w:space="0" w:color="000000"/>
              <w:left w:val="single" w:sz="3" w:space="0" w:color="000000"/>
              <w:bottom w:val="single" w:sz="3" w:space="0" w:color="000000"/>
              <w:right w:val="single" w:sz="3" w:space="0" w:color="000000"/>
            </w:tcBorders>
            <w:vAlign w:val="center"/>
          </w:tcPr>
          <w:p w14:paraId="39C4357B"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3744840E" w14:textId="77777777" w:rsidR="00541219" w:rsidRDefault="00000000" w:rsidP="004D0050">
            <w:pPr>
              <w:spacing w:after="0"/>
              <w:ind w:left="5" w:firstLine="0"/>
              <w:jc w:val="both"/>
            </w:pPr>
            <w:r>
              <w:t>Os consumidores não estão dispostos a terem incluídos em suas faturas de energia os investimentos desnecessários ou que beneficiem apenas a um grupo de consumidores e geradores.</w:t>
            </w:r>
          </w:p>
        </w:tc>
      </w:tr>
      <w:tr w:rsidR="00541219" w14:paraId="36B899E4" w14:textId="77777777">
        <w:trPr>
          <w:trHeight w:val="331"/>
        </w:trPr>
        <w:tc>
          <w:tcPr>
            <w:tcW w:w="5344" w:type="dxa"/>
            <w:tcBorders>
              <w:top w:val="single" w:sz="3" w:space="0" w:color="000000"/>
              <w:left w:val="single" w:sz="3" w:space="0" w:color="000000"/>
              <w:bottom w:val="single" w:sz="3" w:space="0" w:color="000000"/>
              <w:right w:val="single" w:sz="3" w:space="0" w:color="000000"/>
            </w:tcBorders>
          </w:tcPr>
          <w:p w14:paraId="1B124312" w14:textId="77777777" w:rsidR="00541219" w:rsidRDefault="00000000">
            <w:pPr>
              <w:spacing w:after="0"/>
              <w:ind w:left="497" w:firstLine="0"/>
            </w:pPr>
            <w:r>
              <w:rPr>
                <w:sz w:val="8"/>
              </w:rPr>
              <w:t xml:space="preserve">     VI -obrigação de dar publicidade à qualidade na prestação do serviço de distribuição de energia elétrica, por meio da apuração de indicadores de duração e frequência de interrupções efetivamente percebidas pelos usuários, sem aplicação de expurgos;</w:t>
            </w:r>
          </w:p>
        </w:tc>
        <w:tc>
          <w:tcPr>
            <w:tcW w:w="1229" w:type="dxa"/>
            <w:tcBorders>
              <w:top w:val="single" w:sz="3" w:space="0" w:color="000000"/>
              <w:left w:val="single" w:sz="3" w:space="0" w:color="000000"/>
              <w:bottom w:val="single" w:sz="3" w:space="0" w:color="000000"/>
              <w:right w:val="single" w:sz="3" w:space="0" w:color="000000"/>
            </w:tcBorders>
            <w:vAlign w:val="center"/>
          </w:tcPr>
          <w:p w14:paraId="26A3BC6B"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72801528" w14:textId="77777777" w:rsidR="00541219" w:rsidRDefault="00000000" w:rsidP="004D0050">
            <w:pPr>
              <w:spacing w:after="0"/>
              <w:ind w:left="5" w:firstLine="0"/>
              <w:jc w:val="both"/>
            </w:pPr>
            <w:r>
              <w:t>A transparência para os consumidores é item importante para o acompanhamento das faltas de energia e principalmente previsão de seu retorno.</w:t>
            </w:r>
          </w:p>
        </w:tc>
      </w:tr>
      <w:tr w:rsidR="00541219" w14:paraId="098D345A"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62F48B21" w14:textId="77777777" w:rsidR="00541219" w:rsidRDefault="00000000">
            <w:pPr>
              <w:spacing w:after="0"/>
              <w:ind w:left="497" w:firstLine="0"/>
            </w:pPr>
            <w:r>
              <w:rPr>
                <w:sz w:val="8"/>
              </w:rPr>
              <w:t xml:space="preserve">     X - </w:t>
            </w:r>
            <w:proofErr w:type="gramStart"/>
            <w:r>
              <w:rPr>
                <w:sz w:val="8"/>
              </w:rPr>
              <w:t>incentivos</w:t>
            </w:r>
            <w:proofErr w:type="gramEnd"/>
            <w:r>
              <w:rPr>
                <w:sz w:val="8"/>
              </w:rPr>
              <w:t xml:space="preserve"> à gestão eficiente dos custos totais de operação e de capital;</w:t>
            </w:r>
          </w:p>
        </w:tc>
        <w:tc>
          <w:tcPr>
            <w:tcW w:w="4920" w:type="dxa"/>
            <w:gridSpan w:val="2"/>
            <w:tcBorders>
              <w:top w:val="single" w:sz="3" w:space="0" w:color="000000"/>
              <w:left w:val="single" w:sz="3" w:space="0" w:color="000000"/>
              <w:bottom w:val="single" w:sz="3" w:space="0" w:color="000000"/>
              <w:right w:val="nil"/>
            </w:tcBorders>
          </w:tcPr>
          <w:p w14:paraId="5A8A5FE1" w14:textId="77777777" w:rsidR="00541219" w:rsidRDefault="00541219">
            <w:pPr>
              <w:spacing w:after="160"/>
              <w:ind w:left="0" w:firstLine="0"/>
            </w:pPr>
          </w:p>
        </w:tc>
      </w:tr>
      <w:tr w:rsidR="00541219" w14:paraId="66AE5BFA" w14:textId="77777777">
        <w:trPr>
          <w:trHeight w:val="221"/>
        </w:trPr>
        <w:tc>
          <w:tcPr>
            <w:tcW w:w="5344" w:type="dxa"/>
            <w:tcBorders>
              <w:top w:val="single" w:sz="3" w:space="0" w:color="000000"/>
              <w:left w:val="single" w:sz="3" w:space="0" w:color="000000"/>
              <w:bottom w:val="single" w:sz="3" w:space="0" w:color="000000"/>
              <w:right w:val="single" w:sz="3" w:space="0" w:color="000000"/>
            </w:tcBorders>
          </w:tcPr>
          <w:p w14:paraId="091E0C9B" w14:textId="77777777" w:rsidR="00541219" w:rsidRDefault="00000000">
            <w:pPr>
              <w:spacing w:after="0"/>
              <w:ind w:left="497" w:firstLine="0"/>
            </w:pPr>
            <w:r>
              <w:rPr>
                <w:sz w:val="8"/>
              </w:rPr>
              <w:t xml:space="preserve">     XXI - modernidade das técnicas, dos equipamentos e das instalações;</w:t>
            </w:r>
          </w:p>
        </w:tc>
        <w:tc>
          <w:tcPr>
            <w:tcW w:w="1229" w:type="dxa"/>
            <w:tcBorders>
              <w:top w:val="single" w:sz="3" w:space="0" w:color="000000"/>
              <w:left w:val="single" w:sz="3" w:space="0" w:color="000000"/>
              <w:bottom w:val="single" w:sz="3" w:space="0" w:color="000000"/>
              <w:right w:val="single" w:sz="3" w:space="0" w:color="000000"/>
            </w:tcBorders>
          </w:tcPr>
          <w:p w14:paraId="60D65AB7"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1A631877" w14:textId="77777777" w:rsidR="00541219" w:rsidRDefault="00000000" w:rsidP="004D0050">
            <w:pPr>
              <w:spacing w:after="0"/>
              <w:ind w:left="5" w:firstLine="0"/>
              <w:jc w:val="both"/>
            </w:pPr>
            <w:r>
              <w:t>O estímulo à digitalização deve estar adequado a benefícios maiores que os custos aderentes à digitalização pura e simples.</w:t>
            </w:r>
          </w:p>
        </w:tc>
      </w:tr>
      <w:tr w:rsidR="00541219" w14:paraId="66722FC8" w14:textId="77777777">
        <w:trPr>
          <w:trHeight w:val="331"/>
        </w:trPr>
        <w:tc>
          <w:tcPr>
            <w:tcW w:w="5344" w:type="dxa"/>
            <w:tcBorders>
              <w:top w:val="single" w:sz="3" w:space="0" w:color="000000"/>
              <w:left w:val="single" w:sz="3" w:space="0" w:color="000000"/>
              <w:bottom w:val="single" w:sz="3" w:space="0" w:color="000000"/>
              <w:right w:val="single" w:sz="3" w:space="0" w:color="000000"/>
            </w:tcBorders>
            <w:vAlign w:val="center"/>
          </w:tcPr>
          <w:p w14:paraId="4A0B825A" w14:textId="77777777" w:rsidR="00541219" w:rsidRDefault="00000000">
            <w:pPr>
              <w:spacing w:after="0"/>
              <w:ind w:left="0" w:firstLine="0"/>
            </w:pPr>
            <w:r>
              <w:rPr>
                <w:sz w:val="8"/>
              </w:rPr>
              <w:t xml:space="preserve">256. Ainda, em seu art. 17, institui a Rede Nacional dos Consumidores de Energia Elétrica – </w:t>
            </w:r>
            <w:proofErr w:type="spellStart"/>
            <w:r>
              <w:rPr>
                <w:sz w:val="8"/>
              </w:rPr>
              <w:t>Renacon</w:t>
            </w:r>
            <w:proofErr w:type="spellEnd"/>
            <w:r>
              <w:rPr>
                <w:sz w:val="8"/>
              </w:rPr>
              <w:t>.</w:t>
            </w:r>
          </w:p>
        </w:tc>
        <w:tc>
          <w:tcPr>
            <w:tcW w:w="1229" w:type="dxa"/>
            <w:tcBorders>
              <w:top w:val="single" w:sz="3" w:space="0" w:color="000000"/>
              <w:left w:val="single" w:sz="3" w:space="0" w:color="000000"/>
              <w:bottom w:val="single" w:sz="3" w:space="0" w:color="000000"/>
              <w:right w:val="single" w:sz="3" w:space="0" w:color="000000"/>
            </w:tcBorders>
            <w:vAlign w:val="center"/>
          </w:tcPr>
          <w:p w14:paraId="36948C30"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7BD2F0F0" w14:textId="77777777" w:rsidR="00541219" w:rsidRDefault="00000000" w:rsidP="004D0050">
            <w:pPr>
              <w:spacing w:after="0"/>
              <w:ind w:left="5" w:firstLine="0"/>
              <w:jc w:val="both"/>
            </w:pPr>
            <w:r>
              <w:t xml:space="preserve">Somos favoráveis a criação da </w:t>
            </w:r>
            <w:proofErr w:type="spellStart"/>
            <w:r>
              <w:t>Renacon</w:t>
            </w:r>
            <w:proofErr w:type="spellEnd"/>
            <w:r>
              <w:t xml:space="preserve"> para fortalecimento dos Conselhos de Consumidores de Energia Elétrica instituídos pela Lei nº 8.631/1993 e regulados pela REN nº 963/2021.</w:t>
            </w:r>
          </w:p>
        </w:tc>
      </w:tr>
      <w:tr w:rsidR="00541219" w14:paraId="0C43A128" w14:textId="77777777">
        <w:trPr>
          <w:trHeight w:val="751"/>
        </w:trPr>
        <w:tc>
          <w:tcPr>
            <w:tcW w:w="5344" w:type="dxa"/>
            <w:tcBorders>
              <w:top w:val="single" w:sz="3" w:space="0" w:color="000000"/>
              <w:left w:val="single" w:sz="3" w:space="0" w:color="000000"/>
              <w:bottom w:val="single" w:sz="3" w:space="0" w:color="000000"/>
              <w:right w:val="single" w:sz="3" w:space="0" w:color="000000"/>
            </w:tcBorders>
          </w:tcPr>
          <w:p w14:paraId="459FEA97" w14:textId="77777777" w:rsidR="00541219" w:rsidRDefault="00000000">
            <w:pPr>
              <w:spacing w:after="0"/>
              <w:ind w:left="0" w:right="1" w:firstLine="0"/>
            </w:pPr>
            <w:r>
              <w:rPr>
                <w:sz w:val="8"/>
              </w:rPr>
              <w:t>257. Da leitura em conjunto dessas e outras diretrizes, percebe-se a intenção de que o contrato e a atuação da distribuidora tenham o direcionamento à maior visibilidade das necessidades do usuário, à maior transparência na relação com a distribuidora, e do fortalecimento dessa relação com o maior aporte de informações sobre questões que o afetam, como qualidade e informações que facilitem sua conexão ao sistema. Ainda, o contrato deve ensejar a utilização de modernidade nas técnicas, o que inclui a atualização da gestão do relacionamento com o consumidor. Lembrando que esses contratos a serem renovados foram firmados na década de 90, em contexto de privatização, onde o foco era o aumento da eficiência do setor (por meio do preço-teto), garantia do equilíbrio econômico-financeiro dos investidores, a universalização do serviço e o atendimento ao aumento da demanda. Tais contratos permitiram o desenvolvimento de ambiente estável para o setor nos 30 anos de vigência. Isso não significa que o novo contrato precisa ser estático sobre os pontos positivos do anterior.</w:t>
            </w:r>
          </w:p>
        </w:tc>
        <w:tc>
          <w:tcPr>
            <w:tcW w:w="4920" w:type="dxa"/>
            <w:gridSpan w:val="2"/>
            <w:vMerge w:val="restart"/>
            <w:tcBorders>
              <w:top w:val="single" w:sz="3" w:space="0" w:color="000000"/>
              <w:left w:val="single" w:sz="3" w:space="0" w:color="000000"/>
              <w:bottom w:val="single" w:sz="3" w:space="0" w:color="000000"/>
              <w:right w:val="nil"/>
            </w:tcBorders>
          </w:tcPr>
          <w:p w14:paraId="22F78204" w14:textId="77777777" w:rsidR="00541219" w:rsidRDefault="00541219">
            <w:pPr>
              <w:spacing w:after="160"/>
              <w:ind w:left="0" w:firstLine="0"/>
            </w:pPr>
          </w:p>
        </w:tc>
      </w:tr>
      <w:tr w:rsidR="00541219" w14:paraId="35687538"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198A3CDF" w14:textId="77777777" w:rsidR="00541219" w:rsidRDefault="00000000">
            <w:pPr>
              <w:spacing w:after="0"/>
              <w:ind w:left="0" w:firstLine="0"/>
            </w:pPr>
            <w:r>
              <w:rPr>
                <w:sz w:val="8"/>
              </w:rPr>
              <w:t>258. Na linha do aprimoramento da relação da concessionária com os consumidores e da atualização da regulação, propõe-se uma nova cláusula no contrato de concessão que estabelece a realização, por parte da concessionária, de consulta aos usuários, como será detalhado a seguir.</w:t>
            </w:r>
          </w:p>
        </w:tc>
        <w:tc>
          <w:tcPr>
            <w:tcW w:w="0" w:type="auto"/>
            <w:gridSpan w:val="2"/>
            <w:vMerge/>
            <w:tcBorders>
              <w:top w:val="nil"/>
              <w:left w:val="single" w:sz="3" w:space="0" w:color="000000"/>
              <w:bottom w:val="nil"/>
              <w:right w:val="nil"/>
            </w:tcBorders>
          </w:tcPr>
          <w:p w14:paraId="674DF979" w14:textId="77777777" w:rsidR="00541219" w:rsidRDefault="00541219">
            <w:pPr>
              <w:spacing w:after="160"/>
              <w:ind w:left="0" w:firstLine="0"/>
            </w:pPr>
          </w:p>
        </w:tc>
      </w:tr>
      <w:tr w:rsidR="00541219" w14:paraId="44114B8C" w14:textId="77777777">
        <w:trPr>
          <w:trHeight w:val="845"/>
        </w:trPr>
        <w:tc>
          <w:tcPr>
            <w:tcW w:w="5344" w:type="dxa"/>
            <w:tcBorders>
              <w:top w:val="single" w:sz="3" w:space="0" w:color="000000"/>
              <w:left w:val="single" w:sz="3" w:space="0" w:color="000000"/>
              <w:bottom w:val="single" w:sz="3" w:space="0" w:color="000000"/>
              <w:right w:val="single" w:sz="3" w:space="0" w:color="000000"/>
            </w:tcBorders>
          </w:tcPr>
          <w:p w14:paraId="0365AC28" w14:textId="77777777" w:rsidR="00541219" w:rsidRDefault="00000000">
            <w:pPr>
              <w:spacing w:after="0"/>
              <w:ind w:left="0" w:firstLine="0"/>
            </w:pPr>
            <w:r>
              <w:rPr>
                <w:sz w:val="8"/>
              </w:rPr>
              <w:t>259. Por ser o serviço de distribuição de energia elétrica caracterizado como monopólio natural e com distorções de mercado, é ideal que a regulação busque simular o ambiente concorrencial, onde o provedor de serviço se move baseado nas preferências dos usuários e assim, aumente o bem-estar do seu mercado consumidor. Por isso, é importante a obtenção dessas informações diretamente com o usuário, aumentando a chance de alinhamento das expectativas e entendimento mútuo entre as partes. Esse processo diminui a assimetria de informação (informação imperfeita, incompleta) que atinge o regulador, ao revelar as preferências atuais e futuras do usuário e facilita o estabelecimento da regulação. As Consultas aos Usuários são uma proposta que vão no sentindo de, onde a concessionária possui autonomia de decisão, que ela o faça considerando o que foi tratado na interação com o usuário e, onde ela deva ou queira submeter proposta regulatória, que o regulador decida com menor limitação de informações sobre as preferências do consumidor. A ideia é desenvolver a negociação entre as partes, no sentido de ser uma forma de comunicação em que se almeja um acordo final.</w:t>
            </w:r>
          </w:p>
        </w:tc>
        <w:tc>
          <w:tcPr>
            <w:tcW w:w="0" w:type="auto"/>
            <w:gridSpan w:val="2"/>
            <w:vMerge/>
            <w:tcBorders>
              <w:top w:val="nil"/>
              <w:left w:val="single" w:sz="3" w:space="0" w:color="000000"/>
              <w:bottom w:val="nil"/>
              <w:right w:val="nil"/>
            </w:tcBorders>
          </w:tcPr>
          <w:p w14:paraId="6E8A2098" w14:textId="77777777" w:rsidR="00541219" w:rsidRDefault="00541219">
            <w:pPr>
              <w:spacing w:after="160"/>
              <w:ind w:left="0" w:firstLine="0"/>
            </w:pPr>
          </w:p>
        </w:tc>
      </w:tr>
      <w:tr w:rsidR="00541219" w14:paraId="34B67F2C"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668C1C17" w14:textId="77777777" w:rsidR="00541219" w:rsidRDefault="00000000">
            <w:pPr>
              <w:spacing w:after="0"/>
              <w:ind w:left="0" w:firstLine="0"/>
            </w:pPr>
            <w:r>
              <w:rPr>
                <w:sz w:val="8"/>
              </w:rPr>
              <w:t>260. A ferramenta de consulta ao usuário permite que ele influencie em como os serviços são entregues pela concessionária, além de trazer confiança na legitimidade das decisões que a concessionária faz. Do ponto de vista do consumidor, a confiança na legitimidade concede à concessionária uma “licença social para operar”</w:t>
            </w:r>
          </w:p>
        </w:tc>
        <w:tc>
          <w:tcPr>
            <w:tcW w:w="0" w:type="auto"/>
            <w:gridSpan w:val="2"/>
            <w:vMerge/>
            <w:tcBorders>
              <w:top w:val="nil"/>
              <w:left w:val="single" w:sz="3" w:space="0" w:color="000000"/>
              <w:bottom w:val="nil"/>
              <w:right w:val="nil"/>
            </w:tcBorders>
          </w:tcPr>
          <w:p w14:paraId="281E7D37" w14:textId="77777777" w:rsidR="00541219" w:rsidRDefault="00541219">
            <w:pPr>
              <w:spacing w:after="160"/>
              <w:ind w:left="0" w:firstLine="0"/>
            </w:pPr>
          </w:p>
        </w:tc>
      </w:tr>
      <w:tr w:rsidR="00541219" w14:paraId="2EE8EB3E" w14:textId="77777777">
        <w:trPr>
          <w:trHeight w:val="658"/>
        </w:trPr>
        <w:tc>
          <w:tcPr>
            <w:tcW w:w="5344" w:type="dxa"/>
            <w:tcBorders>
              <w:top w:val="single" w:sz="3" w:space="0" w:color="000000"/>
              <w:left w:val="single" w:sz="3" w:space="0" w:color="000000"/>
              <w:bottom w:val="single" w:sz="3" w:space="0" w:color="000000"/>
              <w:right w:val="single" w:sz="3" w:space="0" w:color="000000"/>
            </w:tcBorders>
          </w:tcPr>
          <w:p w14:paraId="58398CCE" w14:textId="77777777" w:rsidR="00541219" w:rsidRDefault="00000000">
            <w:pPr>
              <w:spacing w:after="0"/>
              <w:ind w:left="0" w:firstLine="0"/>
            </w:pPr>
            <w:r>
              <w:rPr>
                <w:sz w:val="8"/>
              </w:rPr>
              <w:t>261. Não necessariamente a consulta deve chegar a um acordo, nem mesmo o usuário teria poder de veto. A concessionária deve manter sua autonomia e liberdade para conduzir as decisões depois de ter considerado as informações obtidas dos usuários após a consulta, mas comprovando o processo da consulta e justificando devidamente o tratamento das informações obtidas. A ideia da consulta é aumentar o entendimento mútuo, revelar anseios e necessidades das partes e fazer com que, nos casos que a consulta preceder alguma submissão regulatória, a tomada de decisão pelo regulador seja feita em ambiente de menor assimetria de informação, aprimorando o desenvolvimento da concessão. A consulta ao usuário traz mais uma camada de legitimação ao processo de tomada de decisão regulatória, mantendo-se a autonomia decisória da concessionária e os riscos associados à sua gestão.</w:t>
            </w:r>
          </w:p>
        </w:tc>
        <w:tc>
          <w:tcPr>
            <w:tcW w:w="0" w:type="auto"/>
            <w:gridSpan w:val="2"/>
            <w:vMerge/>
            <w:tcBorders>
              <w:top w:val="nil"/>
              <w:left w:val="single" w:sz="3" w:space="0" w:color="000000"/>
              <w:bottom w:val="nil"/>
              <w:right w:val="nil"/>
            </w:tcBorders>
          </w:tcPr>
          <w:p w14:paraId="32DBA22A" w14:textId="77777777" w:rsidR="00541219" w:rsidRDefault="00541219">
            <w:pPr>
              <w:spacing w:after="160"/>
              <w:ind w:left="0" w:firstLine="0"/>
            </w:pPr>
          </w:p>
        </w:tc>
      </w:tr>
      <w:tr w:rsidR="00541219" w14:paraId="4BA1B95B"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38957607" w14:textId="77777777" w:rsidR="00541219" w:rsidRDefault="00000000">
            <w:pPr>
              <w:spacing w:after="0"/>
              <w:ind w:left="0" w:right="55" w:firstLine="0"/>
              <w:jc w:val="both"/>
            </w:pPr>
            <w:r>
              <w:rPr>
                <w:sz w:val="8"/>
              </w:rPr>
              <w:lastRenderedPageBreak/>
              <w:t>262. Alguns setores de infraestrutura no Brasil já trazem em seus contratos de concessão o estabelecimento da Consulta aos Usuários, como os setores de exploração de portos e o de aeroportos. No tocante ao tipo de usuário, o setor de distribuição de energia elétrica se caracteriza por quantidade bastante elevada de usuários, que possuem menor capacidade de organização para discussão sobre aspectos de gestão e econômicos da concessão, visto seu caráter pulverizado.</w:t>
            </w:r>
          </w:p>
        </w:tc>
        <w:tc>
          <w:tcPr>
            <w:tcW w:w="0" w:type="auto"/>
            <w:gridSpan w:val="2"/>
            <w:vMerge/>
            <w:tcBorders>
              <w:top w:val="nil"/>
              <w:left w:val="single" w:sz="3" w:space="0" w:color="000000"/>
              <w:bottom w:val="nil"/>
              <w:right w:val="nil"/>
            </w:tcBorders>
          </w:tcPr>
          <w:p w14:paraId="58DDAF7A" w14:textId="77777777" w:rsidR="00541219" w:rsidRDefault="00541219">
            <w:pPr>
              <w:spacing w:after="160"/>
              <w:ind w:left="0" w:firstLine="0"/>
            </w:pPr>
          </w:p>
        </w:tc>
      </w:tr>
      <w:tr w:rsidR="00541219" w14:paraId="1B5A58C2" w14:textId="77777777">
        <w:trPr>
          <w:trHeight w:val="658"/>
        </w:trPr>
        <w:tc>
          <w:tcPr>
            <w:tcW w:w="5344" w:type="dxa"/>
            <w:tcBorders>
              <w:top w:val="single" w:sz="3" w:space="0" w:color="000000"/>
              <w:left w:val="single" w:sz="3" w:space="0" w:color="000000"/>
              <w:bottom w:val="single" w:sz="3" w:space="0" w:color="000000"/>
              <w:right w:val="single" w:sz="3" w:space="0" w:color="000000"/>
            </w:tcBorders>
          </w:tcPr>
          <w:p w14:paraId="1650B054" w14:textId="77777777" w:rsidR="00541219" w:rsidRDefault="00000000">
            <w:pPr>
              <w:spacing w:after="0"/>
              <w:ind w:left="0" w:right="1" w:firstLine="0"/>
            </w:pPr>
            <w:r>
              <w:rPr>
                <w:sz w:val="8"/>
              </w:rPr>
              <w:t>263. Entretanto, a experiência internacional e as boas práticas regulatórias mais atuais trazem exemplos de como a visão do usuário pode ser internalizada nas decisões empresariais da distribuidora. Por exemplo, o documento “</w:t>
            </w:r>
            <w:proofErr w:type="spellStart"/>
            <w:r>
              <w:rPr>
                <w:sz w:val="8"/>
              </w:rPr>
              <w:t>Strengthening</w:t>
            </w:r>
            <w:proofErr w:type="spellEnd"/>
            <w:r>
              <w:rPr>
                <w:sz w:val="8"/>
              </w:rPr>
              <w:t xml:space="preserve"> </w:t>
            </w:r>
            <w:proofErr w:type="spellStart"/>
            <w:r>
              <w:rPr>
                <w:sz w:val="8"/>
              </w:rPr>
              <w:t>the</w:t>
            </w:r>
            <w:proofErr w:type="spellEnd"/>
            <w:r>
              <w:rPr>
                <w:sz w:val="8"/>
              </w:rPr>
              <w:t xml:space="preserve"> </w:t>
            </w:r>
            <w:proofErr w:type="spellStart"/>
            <w:r>
              <w:rPr>
                <w:sz w:val="8"/>
              </w:rPr>
              <w:t>Consumer</w:t>
            </w:r>
            <w:proofErr w:type="spellEnd"/>
            <w:r>
              <w:rPr>
                <w:sz w:val="8"/>
              </w:rPr>
              <w:t xml:space="preserve"> Voice in Energy Network </w:t>
            </w:r>
            <w:proofErr w:type="spellStart"/>
            <w:r>
              <w:rPr>
                <w:sz w:val="8"/>
              </w:rPr>
              <w:t>Company</w:t>
            </w:r>
            <w:proofErr w:type="spellEnd"/>
            <w:r>
              <w:rPr>
                <w:sz w:val="8"/>
              </w:rPr>
              <w:t xml:space="preserve"> </w:t>
            </w:r>
            <w:proofErr w:type="spellStart"/>
            <w:r>
              <w:rPr>
                <w:sz w:val="8"/>
              </w:rPr>
              <w:t>Price</w:t>
            </w:r>
            <w:proofErr w:type="spellEnd"/>
            <w:r>
              <w:rPr>
                <w:sz w:val="8"/>
              </w:rPr>
              <w:t xml:space="preserve"> </w:t>
            </w:r>
            <w:proofErr w:type="spellStart"/>
            <w:r>
              <w:rPr>
                <w:sz w:val="8"/>
              </w:rPr>
              <w:t>Controls</w:t>
            </w:r>
            <w:proofErr w:type="spellEnd"/>
            <w:r>
              <w:rPr>
                <w:sz w:val="8"/>
              </w:rPr>
              <w:t xml:space="preserve">”, em formato de guia e desenvolvido pelo </w:t>
            </w:r>
            <w:proofErr w:type="spellStart"/>
            <w:r>
              <w:rPr>
                <w:sz w:val="8"/>
              </w:rPr>
              <w:t>Citizens</w:t>
            </w:r>
            <w:proofErr w:type="spellEnd"/>
            <w:r>
              <w:rPr>
                <w:sz w:val="8"/>
              </w:rPr>
              <w:t xml:space="preserve"> </w:t>
            </w:r>
            <w:proofErr w:type="spellStart"/>
            <w:r>
              <w:rPr>
                <w:sz w:val="8"/>
              </w:rPr>
              <w:t>Advice</w:t>
            </w:r>
            <w:proofErr w:type="spellEnd"/>
            <w:r>
              <w:rPr>
                <w:sz w:val="8"/>
              </w:rPr>
              <w:t>, do Reino Unido, apresenta como a visão do consumidor pode ser internalizada no desenvolvimento do Plano de Negócios das distribuidoras do Reino Unido para o próximo ciclo tarifário. O documento traz uma revisão da literatura sobre teorias mais amplas de engajamento do consumidor, pesquisa sobre as atividades de engajamento de empresas do setor de energia, entrevistas com funcionários das empresas envolvidos no planejamento e execução das atividades, melhores práticas e estudo de caso.</w:t>
            </w:r>
          </w:p>
        </w:tc>
        <w:tc>
          <w:tcPr>
            <w:tcW w:w="0" w:type="auto"/>
            <w:gridSpan w:val="2"/>
            <w:vMerge/>
            <w:tcBorders>
              <w:top w:val="nil"/>
              <w:left w:val="single" w:sz="3" w:space="0" w:color="000000"/>
              <w:bottom w:val="nil"/>
              <w:right w:val="nil"/>
            </w:tcBorders>
          </w:tcPr>
          <w:p w14:paraId="308938F2" w14:textId="77777777" w:rsidR="00541219" w:rsidRDefault="00541219">
            <w:pPr>
              <w:spacing w:after="160"/>
              <w:ind w:left="0" w:firstLine="0"/>
            </w:pPr>
          </w:p>
        </w:tc>
      </w:tr>
      <w:tr w:rsidR="00541219" w14:paraId="28A6120D"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740BD0D5" w14:textId="77777777" w:rsidR="00541219" w:rsidRDefault="00000000">
            <w:pPr>
              <w:spacing w:after="0"/>
              <w:ind w:left="0" w:right="202" w:firstLine="0"/>
              <w:jc w:val="both"/>
            </w:pPr>
            <w:r>
              <w:rPr>
                <w:sz w:val="8"/>
              </w:rPr>
              <w:t>264. Ainda em relação ao Reino Unido, cada distribuidora mantém seu Grupo de engajamento do consumidor (CEG), que irá escrutinizar o Plano de Negócios do próximo ciclo desde o início da sua construção. A ENWL, por exemplo, iniciou as interações com o CEG31 sobre o plano 2023-202832 em 2018 para finalizar em 2021.</w:t>
            </w:r>
          </w:p>
        </w:tc>
        <w:tc>
          <w:tcPr>
            <w:tcW w:w="0" w:type="auto"/>
            <w:gridSpan w:val="2"/>
            <w:vMerge/>
            <w:tcBorders>
              <w:top w:val="nil"/>
              <w:left w:val="single" w:sz="3" w:space="0" w:color="000000"/>
              <w:bottom w:val="nil"/>
              <w:right w:val="nil"/>
            </w:tcBorders>
          </w:tcPr>
          <w:p w14:paraId="04576ABA" w14:textId="77777777" w:rsidR="00541219" w:rsidRDefault="00541219">
            <w:pPr>
              <w:spacing w:after="160"/>
              <w:ind w:left="0" w:firstLine="0"/>
            </w:pPr>
          </w:p>
        </w:tc>
      </w:tr>
      <w:tr w:rsidR="00541219" w14:paraId="46D47CB9"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060F4435" w14:textId="77777777" w:rsidR="00541219" w:rsidRDefault="00000000">
            <w:pPr>
              <w:spacing w:after="0"/>
              <w:ind w:left="0" w:firstLine="0"/>
            </w:pPr>
            <w:r>
              <w:rPr>
                <w:sz w:val="8"/>
              </w:rPr>
              <w:t>265. Outro exemplo é o caso da Australia, onde o regulador também disponibiliza um guia (</w:t>
            </w:r>
            <w:proofErr w:type="spellStart"/>
            <w:r>
              <w:rPr>
                <w:sz w:val="8"/>
              </w:rPr>
              <w:t>Better</w:t>
            </w:r>
            <w:proofErr w:type="spellEnd"/>
            <w:r>
              <w:rPr>
                <w:sz w:val="8"/>
              </w:rPr>
              <w:t xml:space="preserve"> Resets Handbook – </w:t>
            </w:r>
            <w:proofErr w:type="spellStart"/>
            <w:r>
              <w:rPr>
                <w:sz w:val="8"/>
              </w:rPr>
              <w:t>Towards</w:t>
            </w:r>
            <w:proofErr w:type="spellEnd"/>
            <w:r>
              <w:rPr>
                <w:sz w:val="8"/>
              </w:rPr>
              <w:t xml:space="preserve"> </w:t>
            </w:r>
            <w:proofErr w:type="spellStart"/>
            <w:r>
              <w:rPr>
                <w:sz w:val="8"/>
              </w:rPr>
              <w:t>Consumer</w:t>
            </w:r>
            <w:proofErr w:type="spellEnd"/>
            <w:r>
              <w:rPr>
                <w:sz w:val="8"/>
              </w:rPr>
              <w:t xml:space="preserve"> </w:t>
            </w:r>
            <w:proofErr w:type="spellStart"/>
            <w:r>
              <w:rPr>
                <w:sz w:val="8"/>
              </w:rPr>
              <w:t>Centric</w:t>
            </w:r>
            <w:proofErr w:type="spellEnd"/>
            <w:r>
              <w:rPr>
                <w:sz w:val="8"/>
              </w:rPr>
              <w:t xml:space="preserve"> Network </w:t>
            </w:r>
            <w:proofErr w:type="spellStart"/>
            <w:r>
              <w:rPr>
                <w:sz w:val="8"/>
              </w:rPr>
              <w:t>Proposals</w:t>
            </w:r>
            <w:proofErr w:type="spellEnd"/>
            <w:r>
              <w:rPr>
                <w:sz w:val="8"/>
              </w:rPr>
              <w:t xml:space="preserve">) para estimular o engajamento da distribuidora com o consumidor. A própria associação de empresas que operam redes de eletricidade e gás (ENA) também desenvolveu o seu próprio manual sobre </w:t>
            </w:r>
            <w:proofErr w:type="spellStart"/>
            <w:r>
              <w:rPr>
                <w:sz w:val="8"/>
              </w:rPr>
              <w:t>engagamento</w:t>
            </w:r>
            <w:proofErr w:type="spellEnd"/>
            <w:r>
              <w:rPr>
                <w:sz w:val="8"/>
              </w:rPr>
              <w:t xml:space="preserve"> do consumidor (</w:t>
            </w:r>
            <w:proofErr w:type="spellStart"/>
            <w:r>
              <w:rPr>
                <w:sz w:val="8"/>
              </w:rPr>
              <w:t>Customer</w:t>
            </w:r>
            <w:proofErr w:type="spellEnd"/>
            <w:r>
              <w:rPr>
                <w:sz w:val="8"/>
              </w:rPr>
              <w:t xml:space="preserve"> </w:t>
            </w:r>
            <w:proofErr w:type="spellStart"/>
            <w:r>
              <w:rPr>
                <w:sz w:val="8"/>
              </w:rPr>
              <w:t>Engagement</w:t>
            </w:r>
            <w:proofErr w:type="spellEnd"/>
            <w:r>
              <w:rPr>
                <w:sz w:val="8"/>
              </w:rPr>
              <w:t xml:space="preserve"> Handbook).</w:t>
            </w:r>
          </w:p>
        </w:tc>
        <w:tc>
          <w:tcPr>
            <w:tcW w:w="0" w:type="auto"/>
            <w:gridSpan w:val="2"/>
            <w:vMerge/>
            <w:tcBorders>
              <w:top w:val="nil"/>
              <w:left w:val="single" w:sz="3" w:space="0" w:color="000000"/>
              <w:bottom w:val="nil"/>
              <w:right w:val="nil"/>
            </w:tcBorders>
          </w:tcPr>
          <w:p w14:paraId="12B863AC" w14:textId="77777777" w:rsidR="00541219" w:rsidRDefault="00541219">
            <w:pPr>
              <w:spacing w:after="160"/>
              <w:ind w:left="0" w:firstLine="0"/>
            </w:pPr>
          </w:p>
        </w:tc>
      </w:tr>
      <w:tr w:rsidR="00541219" w14:paraId="5922D03D" w14:textId="77777777">
        <w:trPr>
          <w:trHeight w:val="470"/>
        </w:trPr>
        <w:tc>
          <w:tcPr>
            <w:tcW w:w="5344" w:type="dxa"/>
            <w:tcBorders>
              <w:top w:val="single" w:sz="3" w:space="0" w:color="000000"/>
              <w:left w:val="single" w:sz="3" w:space="0" w:color="000000"/>
              <w:bottom w:val="single" w:sz="3" w:space="0" w:color="000000"/>
              <w:right w:val="single" w:sz="3" w:space="0" w:color="000000"/>
            </w:tcBorders>
          </w:tcPr>
          <w:p w14:paraId="60C1AABC" w14:textId="77777777" w:rsidR="00541219" w:rsidRDefault="00000000">
            <w:pPr>
              <w:spacing w:after="0"/>
              <w:ind w:left="0" w:firstLine="0"/>
            </w:pPr>
            <w:r>
              <w:rPr>
                <w:sz w:val="8"/>
              </w:rPr>
              <w:t>266. Um outro benefício que as consultas podem trazer é o conhecimento sobre as decisões dos usuários a respeito de recursos energéticos distribuídos (RED). À medida que os RED aumentem sua presença nas redes, seja por veículos elétricos, geração distribuída, baterias ou resposta da demanda, o planejamento de investimento e operação da concessionária precisa se aproximar do consumidor para obtenção de informações a respeito de decisões individuais de investimento e consumo e assim, direcionar seus investimentos de forma mais eficiente, aproveitando as sinergias que podem surgir nesse modelo. Ou seja, a consulta ao usuário pode se tornar também uma forma de gerenciamento de risco.</w:t>
            </w:r>
          </w:p>
        </w:tc>
        <w:tc>
          <w:tcPr>
            <w:tcW w:w="0" w:type="auto"/>
            <w:gridSpan w:val="2"/>
            <w:vMerge/>
            <w:tcBorders>
              <w:top w:val="nil"/>
              <w:left w:val="single" w:sz="3" w:space="0" w:color="000000"/>
              <w:bottom w:val="nil"/>
              <w:right w:val="nil"/>
            </w:tcBorders>
          </w:tcPr>
          <w:p w14:paraId="00BFCCDC" w14:textId="77777777" w:rsidR="00541219" w:rsidRDefault="00541219">
            <w:pPr>
              <w:spacing w:after="160"/>
              <w:ind w:left="0" w:firstLine="0"/>
            </w:pPr>
          </w:p>
        </w:tc>
      </w:tr>
      <w:tr w:rsidR="00541219" w14:paraId="679994BB"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279B9678" w14:textId="77777777" w:rsidR="00541219" w:rsidRDefault="00000000">
            <w:pPr>
              <w:spacing w:after="0"/>
              <w:ind w:left="0" w:firstLine="0"/>
            </w:pPr>
            <w:r>
              <w:rPr>
                <w:sz w:val="8"/>
              </w:rPr>
              <w:t>267. A regulação da ANEEL já prevê algumas consultas a determinados usuários, a exemplo das citadas a seguir:</w:t>
            </w:r>
          </w:p>
        </w:tc>
        <w:tc>
          <w:tcPr>
            <w:tcW w:w="0" w:type="auto"/>
            <w:gridSpan w:val="2"/>
            <w:vMerge/>
            <w:tcBorders>
              <w:top w:val="nil"/>
              <w:left w:val="single" w:sz="3" w:space="0" w:color="000000"/>
              <w:bottom w:val="nil"/>
              <w:right w:val="nil"/>
            </w:tcBorders>
          </w:tcPr>
          <w:p w14:paraId="16E84486" w14:textId="77777777" w:rsidR="00541219" w:rsidRDefault="00541219">
            <w:pPr>
              <w:spacing w:after="160"/>
              <w:ind w:left="0" w:firstLine="0"/>
            </w:pPr>
          </w:p>
        </w:tc>
      </w:tr>
      <w:tr w:rsidR="00541219" w14:paraId="33EAAAE4"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09EBB1CA" w14:textId="77777777" w:rsidR="00541219" w:rsidRDefault="00000000">
            <w:pPr>
              <w:spacing w:after="0"/>
              <w:ind w:left="497" w:firstLine="0"/>
            </w:pPr>
            <w:r>
              <w:rPr>
                <w:sz w:val="8"/>
              </w:rPr>
              <w:t xml:space="preserve">     a) Consulta para edição ou alteração de normas ou padrões técnicos (art. 20 da REN no 1.000/2021);</w:t>
            </w:r>
          </w:p>
        </w:tc>
        <w:tc>
          <w:tcPr>
            <w:tcW w:w="0" w:type="auto"/>
            <w:gridSpan w:val="2"/>
            <w:vMerge/>
            <w:tcBorders>
              <w:top w:val="nil"/>
              <w:left w:val="single" w:sz="3" w:space="0" w:color="000000"/>
              <w:bottom w:val="single" w:sz="3" w:space="0" w:color="000000"/>
              <w:right w:val="nil"/>
            </w:tcBorders>
          </w:tcPr>
          <w:p w14:paraId="32103C6B" w14:textId="77777777" w:rsidR="00541219" w:rsidRDefault="00541219">
            <w:pPr>
              <w:spacing w:after="160"/>
              <w:ind w:left="0" w:firstLine="0"/>
            </w:pPr>
          </w:p>
        </w:tc>
      </w:tr>
      <w:tr w:rsidR="00541219" w14:paraId="5EED4377" w14:textId="77777777">
        <w:trPr>
          <w:trHeight w:val="221"/>
        </w:trPr>
        <w:tc>
          <w:tcPr>
            <w:tcW w:w="5344" w:type="dxa"/>
            <w:tcBorders>
              <w:top w:val="single" w:sz="3" w:space="0" w:color="000000"/>
              <w:left w:val="single" w:sz="3" w:space="0" w:color="000000"/>
              <w:bottom w:val="single" w:sz="3" w:space="0" w:color="000000"/>
              <w:right w:val="single" w:sz="3" w:space="0" w:color="000000"/>
            </w:tcBorders>
          </w:tcPr>
          <w:p w14:paraId="4CAAB462" w14:textId="77777777" w:rsidR="00541219" w:rsidRDefault="00000000">
            <w:pPr>
              <w:spacing w:after="0"/>
              <w:ind w:left="497" w:firstLine="0"/>
            </w:pPr>
            <w:r>
              <w:rPr>
                <w:sz w:val="8"/>
              </w:rPr>
              <w:t xml:space="preserve">     b) Consulta aos Conselhos de Consumidores para implantação de solução de atendimento com metodologias interativas de comunicação audiovisual no posto de atendimento presencial (art. 382 da REN no 1.000/2021);</w:t>
            </w:r>
          </w:p>
        </w:tc>
        <w:tc>
          <w:tcPr>
            <w:tcW w:w="1229" w:type="dxa"/>
            <w:tcBorders>
              <w:top w:val="single" w:sz="3" w:space="0" w:color="000000"/>
              <w:left w:val="single" w:sz="3" w:space="0" w:color="000000"/>
              <w:bottom w:val="single" w:sz="3" w:space="0" w:color="000000"/>
              <w:right w:val="single" w:sz="3" w:space="0" w:color="000000"/>
            </w:tcBorders>
          </w:tcPr>
          <w:p w14:paraId="4BD6FF59"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120EDAD1" w14:textId="77777777" w:rsidR="00541219" w:rsidRDefault="00000000">
            <w:pPr>
              <w:spacing w:after="0"/>
              <w:ind w:left="5" w:firstLine="0"/>
            </w:pPr>
            <w:r>
              <w:t>O Conselho de Consumidores tem participado com intensidade desta atribuição.</w:t>
            </w:r>
          </w:p>
        </w:tc>
      </w:tr>
      <w:tr w:rsidR="00541219" w14:paraId="04D06D33"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4F420745" w14:textId="77777777" w:rsidR="00541219" w:rsidRDefault="00000000">
            <w:pPr>
              <w:spacing w:after="0"/>
              <w:ind w:left="497" w:firstLine="0"/>
            </w:pPr>
            <w:r>
              <w:rPr>
                <w:sz w:val="8"/>
              </w:rPr>
              <w:t xml:space="preserve">     c) Apresentação ao Conselho de Consumidores, dentre outros assuntos, do Plano de Desenvolvimento da Distribuição (PDD), propostas de reconfiguração de conjuntos e limite de continuidade, portfólio de projetos de P&amp;D, plano de investimento tecnológico (REN no 963/2021).</w:t>
            </w:r>
          </w:p>
        </w:tc>
        <w:tc>
          <w:tcPr>
            <w:tcW w:w="1229" w:type="dxa"/>
            <w:tcBorders>
              <w:top w:val="single" w:sz="3" w:space="0" w:color="000000"/>
              <w:left w:val="single" w:sz="3" w:space="0" w:color="000000"/>
              <w:bottom w:val="single" w:sz="3" w:space="0" w:color="000000"/>
              <w:right w:val="single" w:sz="3" w:space="0" w:color="000000"/>
            </w:tcBorders>
          </w:tcPr>
          <w:p w14:paraId="331DB025"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14FB3943" w14:textId="77777777" w:rsidR="00541219" w:rsidRDefault="00000000">
            <w:pPr>
              <w:spacing w:after="0"/>
              <w:ind w:left="5" w:firstLine="0"/>
            </w:pPr>
            <w:r>
              <w:t>O Conselho de Consumidores tem participado com intensidade desta atribuição.</w:t>
            </w:r>
          </w:p>
        </w:tc>
      </w:tr>
      <w:tr w:rsidR="00541219" w14:paraId="563509BA"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4AF9F74C" w14:textId="77777777" w:rsidR="00541219" w:rsidRDefault="00000000">
            <w:pPr>
              <w:spacing w:after="0"/>
              <w:ind w:left="0" w:right="243" w:firstLine="0"/>
              <w:jc w:val="both"/>
            </w:pPr>
            <w:r>
              <w:rPr>
                <w:sz w:val="8"/>
              </w:rPr>
              <w:t>268. No caso do item “b”, acima citado, a consulta ao Conselho de Consumidores tem caráter decisório, visto que a implantação pela distribuidora depende da existência de manifestação favorável quanto à modificação da forma de atendimento presencial pretendida, ou seja, confere-se um empoderamento ao Conselho de Consumidores em tema relevante para os consumidores.</w:t>
            </w:r>
          </w:p>
        </w:tc>
        <w:tc>
          <w:tcPr>
            <w:tcW w:w="1229" w:type="dxa"/>
            <w:tcBorders>
              <w:top w:val="single" w:sz="3" w:space="0" w:color="000000"/>
              <w:left w:val="single" w:sz="3" w:space="0" w:color="000000"/>
              <w:bottom w:val="single" w:sz="3" w:space="0" w:color="000000"/>
              <w:right w:val="single" w:sz="3" w:space="0" w:color="000000"/>
            </w:tcBorders>
          </w:tcPr>
          <w:p w14:paraId="7290FA2B"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3EDA427A" w14:textId="77777777" w:rsidR="00541219" w:rsidRDefault="00000000">
            <w:pPr>
              <w:spacing w:after="0"/>
              <w:ind w:left="5" w:firstLine="0"/>
            </w:pPr>
            <w:r>
              <w:t>O Conselho de Consumidores tem participado com intensidade desta atribuição.</w:t>
            </w:r>
          </w:p>
        </w:tc>
      </w:tr>
      <w:tr w:rsidR="00541219" w14:paraId="79ACBE84" w14:textId="77777777">
        <w:trPr>
          <w:trHeight w:val="845"/>
        </w:trPr>
        <w:tc>
          <w:tcPr>
            <w:tcW w:w="5344" w:type="dxa"/>
            <w:tcBorders>
              <w:top w:val="single" w:sz="3" w:space="0" w:color="000000"/>
              <w:left w:val="single" w:sz="3" w:space="0" w:color="000000"/>
              <w:bottom w:val="single" w:sz="3" w:space="0" w:color="000000"/>
              <w:right w:val="single" w:sz="3" w:space="0" w:color="000000"/>
            </w:tcBorders>
          </w:tcPr>
          <w:p w14:paraId="4BC30261" w14:textId="77777777" w:rsidR="00541219" w:rsidRDefault="00000000">
            <w:pPr>
              <w:spacing w:after="0"/>
              <w:ind w:left="0" w:right="15" w:firstLine="0"/>
            </w:pPr>
            <w:r>
              <w:rPr>
                <w:sz w:val="8"/>
              </w:rPr>
              <w:t>269. A Proposta de Consulta ao Usuário aqui trazida e que se tornará cláusula contratual é uma medida que vai na linha do engajamento do consumidor. É um processo que deve ser estruturado pela distribuidora, com identificação das partes afetadas pelo tema da consulta, levantamento do que entende e deseja o usuário em relação ao tema, elaboração da proposta da distribuidora utilizando esse levantamento, ou justificar em caso de não utilização, apresentação de opções com custo-benefício de cada uma, assim como o impacto tarifário, se cabível, e como o feedback do usuário foi utilizado para refinar a proposta. O processo deve ser transparente e publicado, com apresentação de todas as fases, as diferenças entre a proposta original e a final, e a forma de acompanhamento acordada com o usuário. Trata-se de processo iterativo, onde podem ser utilizadas pesquisas e entrevistas, mas é responsabilidade da distribuidora promover o engajamento do seu usuário. Embora os conselhos de consumidores possam participar do processo (e é desejável que o façam), a Consulta aos Usuários não se restringe a eles, devendo elaborar um processo específico de identificação e de organização dos afetados pela proposta.</w:t>
            </w:r>
          </w:p>
        </w:tc>
        <w:tc>
          <w:tcPr>
            <w:tcW w:w="4920" w:type="dxa"/>
            <w:gridSpan w:val="2"/>
            <w:tcBorders>
              <w:top w:val="single" w:sz="3" w:space="0" w:color="000000"/>
              <w:left w:val="single" w:sz="3" w:space="0" w:color="000000"/>
              <w:bottom w:val="nil"/>
              <w:right w:val="nil"/>
            </w:tcBorders>
          </w:tcPr>
          <w:p w14:paraId="133F2CF7" w14:textId="77777777" w:rsidR="00541219" w:rsidRDefault="00541219">
            <w:pPr>
              <w:spacing w:after="160"/>
              <w:ind w:left="0" w:firstLine="0"/>
            </w:pPr>
          </w:p>
        </w:tc>
      </w:tr>
    </w:tbl>
    <w:p w14:paraId="7315D665" w14:textId="77777777" w:rsidR="00541219" w:rsidRDefault="00541219">
      <w:pPr>
        <w:spacing w:after="0"/>
        <w:ind w:left="-1440" w:right="8609" w:firstLine="0"/>
      </w:pPr>
    </w:p>
    <w:tbl>
      <w:tblPr>
        <w:tblStyle w:val="TableGrid"/>
        <w:tblW w:w="10264" w:type="dxa"/>
        <w:tblInd w:w="-688" w:type="dxa"/>
        <w:tblCellMar>
          <w:top w:w="0" w:type="dxa"/>
          <w:left w:w="19" w:type="dxa"/>
          <w:bottom w:w="0" w:type="dxa"/>
          <w:right w:w="22" w:type="dxa"/>
        </w:tblCellMar>
        <w:tblLook w:val="04A0" w:firstRow="1" w:lastRow="0" w:firstColumn="1" w:lastColumn="0" w:noHBand="0" w:noVBand="1"/>
      </w:tblPr>
      <w:tblGrid>
        <w:gridCol w:w="5344"/>
        <w:gridCol w:w="1229"/>
        <w:gridCol w:w="3691"/>
      </w:tblGrid>
      <w:tr w:rsidR="00541219" w14:paraId="45435233" w14:textId="77777777">
        <w:trPr>
          <w:trHeight w:val="150"/>
        </w:trPr>
        <w:tc>
          <w:tcPr>
            <w:tcW w:w="10264" w:type="dxa"/>
            <w:gridSpan w:val="3"/>
            <w:tcBorders>
              <w:top w:val="single" w:sz="6" w:space="0" w:color="000000"/>
              <w:left w:val="single" w:sz="6" w:space="0" w:color="000000"/>
              <w:bottom w:val="single" w:sz="3" w:space="0" w:color="000000"/>
              <w:right w:val="single" w:sz="6" w:space="0" w:color="000000"/>
            </w:tcBorders>
          </w:tcPr>
          <w:p w14:paraId="27CED80E" w14:textId="77777777" w:rsidR="00541219" w:rsidRDefault="00000000">
            <w:pPr>
              <w:spacing w:after="0"/>
              <w:ind w:left="18" w:firstLine="0"/>
              <w:jc w:val="center"/>
            </w:pPr>
            <w:r>
              <w:rPr>
                <w:color w:val="0000FF"/>
                <w:sz w:val="12"/>
              </w:rPr>
              <w:t>CONTRIBUIÇÃO REFERENTE À CONSULTA PÚBLICA Nº 27/2024</w:t>
            </w:r>
          </w:p>
        </w:tc>
      </w:tr>
      <w:tr w:rsidR="00541219" w14:paraId="3EC2FA0A" w14:textId="77777777">
        <w:trPr>
          <w:trHeight w:val="149"/>
        </w:trPr>
        <w:tc>
          <w:tcPr>
            <w:tcW w:w="10264" w:type="dxa"/>
            <w:gridSpan w:val="3"/>
            <w:tcBorders>
              <w:top w:val="single" w:sz="3" w:space="0" w:color="000000"/>
              <w:left w:val="single" w:sz="6" w:space="0" w:color="000000"/>
              <w:bottom w:val="single" w:sz="3" w:space="0" w:color="000000"/>
              <w:right w:val="single" w:sz="6" w:space="0" w:color="000000"/>
            </w:tcBorders>
          </w:tcPr>
          <w:p w14:paraId="42B54272" w14:textId="77777777" w:rsidR="00541219" w:rsidRDefault="00000000">
            <w:pPr>
              <w:spacing w:after="0"/>
              <w:ind w:left="6" w:firstLine="0"/>
              <w:jc w:val="center"/>
            </w:pPr>
            <w:r>
              <w:rPr>
                <w:color w:val="0000FF"/>
                <w:sz w:val="12"/>
              </w:rPr>
              <w:t>NOME DA INSTITUIÇÃO: CONCEN Conselho de Consumidores da Energisa Mato Grosso do Sul</w:t>
            </w:r>
          </w:p>
        </w:tc>
      </w:tr>
      <w:tr w:rsidR="00541219" w14:paraId="4D2E556B" w14:textId="77777777">
        <w:trPr>
          <w:trHeight w:val="149"/>
        </w:trPr>
        <w:tc>
          <w:tcPr>
            <w:tcW w:w="10264" w:type="dxa"/>
            <w:gridSpan w:val="3"/>
            <w:tcBorders>
              <w:top w:val="single" w:sz="3" w:space="0" w:color="000000"/>
              <w:left w:val="single" w:sz="6" w:space="0" w:color="000000"/>
              <w:bottom w:val="single" w:sz="3" w:space="0" w:color="000000"/>
              <w:right w:val="single" w:sz="6" w:space="0" w:color="000000"/>
            </w:tcBorders>
          </w:tcPr>
          <w:p w14:paraId="58FF1751" w14:textId="77777777" w:rsidR="00541219" w:rsidRDefault="00000000">
            <w:pPr>
              <w:tabs>
                <w:tab w:val="center" w:pos="626"/>
                <w:tab w:val="center" w:pos="5122"/>
              </w:tabs>
              <w:spacing w:after="0"/>
              <w:ind w:left="0" w:firstLine="0"/>
            </w:pPr>
            <w:r>
              <w:rPr>
                <w:rFonts w:ascii="Calibri" w:eastAsia="Calibri" w:hAnsi="Calibri" w:cs="Calibri"/>
                <w:sz w:val="22"/>
              </w:rPr>
              <w:tab/>
            </w:r>
            <w:r>
              <w:rPr>
                <w:noProof/>
              </w:rPr>
              <w:drawing>
                <wp:inline distT="0" distB="0" distL="0" distR="0" wp14:anchorId="1F55543A" wp14:editId="278CE9BF">
                  <wp:extent cx="585216" cy="362712"/>
                  <wp:effectExtent l="0" t="0" r="0" b="0"/>
                  <wp:docPr id="4001" name="Picture 4001"/>
                  <wp:cNvGraphicFramePr/>
                  <a:graphic xmlns:a="http://schemas.openxmlformats.org/drawingml/2006/main">
                    <a:graphicData uri="http://schemas.openxmlformats.org/drawingml/2006/picture">
                      <pic:pic xmlns:pic="http://schemas.openxmlformats.org/drawingml/2006/picture">
                        <pic:nvPicPr>
                          <pic:cNvPr id="4001" name="Picture 4001"/>
                          <pic:cNvPicPr/>
                        </pic:nvPicPr>
                        <pic:blipFill>
                          <a:blip r:embed="rId5"/>
                          <a:stretch>
                            <a:fillRect/>
                          </a:stretch>
                        </pic:blipFill>
                        <pic:spPr>
                          <a:xfrm>
                            <a:off x="0" y="0"/>
                            <a:ext cx="585216" cy="362712"/>
                          </a:xfrm>
                          <a:prstGeom prst="rect">
                            <a:avLst/>
                          </a:prstGeom>
                        </pic:spPr>
                      </pic:pic>
                    </a:graphicData>
                  </a:graphic>
                </wp:inline>
              </w:drawing>
            </w:r>
            <w:r>
              <w:rPr>
                <w:color w:val="0000FF"/>
                <w:sz w:val="12"/>
              </w:rPr>
              <w:tab/>
              <w:t>AGÊNCIA NACIONAL DE ENERGIA ELÉTRICA – ANEEL</w:t>
            </w:r>
          </w:p>
        </w:tc>
      </w:tr>
      <w:tr w:rsidR="00541219" w14:paraId="76AA566B" w14:textId="77777777">
        <w:trPr>
          <w:trHeight w:val="178"/>
        </w:trPr>
        <w:tc>
          <w:tcPr>
            <w:tcW w:w="10264" w:type="dxa"/>
            <w:gridSpan w:val="3"/>
            <w:tcBorders>
              <w:top w:val="single" w:sz="3" w:space="0" w:color="000000"/>
              <w:left w:val="single" w:sz="6" w:space="0" w:color="000000"/>
              <w:bottom w:val="single" w:sz="3" w:space="0" w:color="000000"/>
              <w:right w:val="single" w:sz="6" w:space="0" w:color="000000"/>
            </w:tcBorders>
          </w:tcPr>
          <w:p w14:paraId="058FBF4B" w14:textId="77777777" w:rsidR="00541219" w:rsidRDefault="00000000">
            <w:pPr>
              <w:spacing w:after="0"/>
              <w:ind w:left="16" w:firstLine="0"/>
              <w:jc w:val="center"/>
            </w:pPr>
            <w:r>
              <w:rPr>
                <w:color w:val="0000FF"/>
              </w:rPr>
              <w:t>NOTA TÉCNICA nº 1.056/2024-SCE-SFF-SFT-SMA-STE-STD-STR/ANEEL de 09 de outubro de 2024.</w:t>
            </w:r>
          </w:p>
        </w:tc>
      </w:tr>
      <w:tr w:rsidR="00541219" w14:paraId="574DC257" w14:textId="77777777">
        <w:trPr>
          <w:trHeight w:val="194"/>
        </w:trPr>
        <w:tc>
          <w:tcPr>
            <w:tcW w:w="10264" w:type="dxa"/>
            <w:gridSpan w:val="3"/>
            <w:tcBorders>
              <w:top w:val="single" w:sz="3" w:space="0" w:color="000000"/>
              <w:left w:val="single" w:sz="6" w:space="0" w:color="000000"/>
              <w:bottom w:val="single" w:sz="3" w:space="0" w:color="000000"/>
              <w:right w:val="single" w:sz="6" w:space="0" w:color="000000"/>
            </w:tcBorders>
          </w:tcPr>
          <w:p w14:paraId="7FC22D38" w14:textId="77777777" w:rsidR="00541219" w:rsidRDefault="00000000">
            <w:pPr>
              <w:spacing w:after="0"/>
              <w:ind w:left="3" w:firstLine="0"/>
              <w:jc w:val="center"/>
            </w:pPr>
            <w:r>
              <w:rPr>
                <w:color w:val="0000FF"/>
              </w:rPr>
              <w:t xml:space="preserve">                                                               EMENTA: Obter subsídios para o aprimoramento da minuta de termo aditivo ao contrato de concessão de distribuição de energia elétrica com vistas à prorrogação das concessões.</w:t>
            </w:r>
          </w:p>
        </w:tc>
      </w:tr>
      <w:tr w:rsidR="00541219" w14:paraId="7FE014AA" w14:textId="77777777">
        <w:trPr>
          <w:trHeight w:val="132"/>
        </w:trPr>
        <w:tc>
          <w:tcPr>
            <w:tcW w:w="10264" w:type="dxa"/>
            <w:gridSpan w:val="3"/>
            <w:tcBorders>
              <w:top w:val="single" w:sz="3" w:space="0" w:color="000000"/>
              <w:left w:val="single" w:sz="6" w:space="0" w:color="000000"/>
              <w:bottom w:val="single" w:sz="3" w:space="0" w:color="000000"/>
              <w:right w:val="single" w:sz="6" w:space="0" w:color="000000"/>
            </w:tcBorders>
          </w:tcPr>
          <w:p w14:paraId="5D256D54" w14:textId="77777777" w:rsidR="00541219" w:rsidRDefault="00000000">
            <w:pPr>
              <w:spacing w:after="0"/>
              <w:ind w:left="3" w:firstLine="0"/>
              <w:jc w:val="center"/>
            </w:pPr>
            <w:r>
              <w:rPr>
                <w:color w:val="0000FF"/>
                <w:sz w:val="11"/>
              </w:rPr>
              <w:t>CONTRIBUIÇÕES RECEBIDAS</w:t>
            </w:r>
          </w:p>
        </w:tc>
      </w:tr>
      <w:tr w:rsidR="00541219" w14:paraId="711189E3" w14:textId="77777777">
        <w:trPr>
          <w:trHeight w:val="275"/>
        </w:trPr>
        <w:tc>
          <w:tcPr>
            <w:tcW w:w="10264" w:type="dxa"/>
            <w:gridSpan w:val="3"/>
            <w:tcBorders>
              <w:top w:val="single" w:sz="3" w:space="0" w:color="000000"/>
              <w:left w:val="single" w:sz="6" w:space="0" w:color="000000"/>
              <w:bottom w:val="single" w:sz="6" w:space="0" w:color="000000"/>
              <w:right w:val="single" w:sz="6" w:space="0" w:color="000000"/>
            </w:tcBorders>
          </w:tcPr>
          <w:p w14:paraId="5285C634" w14:textId="77777777" w:rsidR="00541219" w:rsidRDefault="00000000">
            <w:pPr>
              <w:spacing w:after="0"/>
              <w:ind w:left="0" w:firstLine="0"/>
            </w:pPr>
            <w:r>
              <w:t>IMPORTANTE: Os comentários e sugestões referentes às contribuições deverão ser fundamentados e justificados, mencionando-se os artigos, parágrafos e incisos a que se referem, devendo ser acompanhados de textos alternativos e substitutivos quando envolverem sugestões de inclusão ou alteração, parcial ou total, de qualquer dispositivo.</w:t>
            </w:r>
          </w:p>
        </w:tc>
      </w:tr>
      <w:tr w:rsidR="00541219" w14:paraId="307310D3" w14:textId="77777777">
        <w:trPr>
          <w:trHeight w:val="213"/>
        </w:trPr>
        <w:tc>
          <w:tcPr>
            <w:tcW w:w="5344" w:type="dxa"/>
            <w:tcBorders>
              <w:top w:val="single" w:sz="6" w:space="0" w:color="000000"/>
              <w:left w:val="single" w:sz="6" w:space="0" w:color="000000"/>
              <w:bottom w:val="double" w:sz="4" w:space="0" w:color="000000"/>
              <w:right w:val="single" w:sz="6" w:space="0" w:color="000000"/>
            </w:tcBorders>
            <w:shd w:val="clear" w:color="auto" w:fill="FF0000"/>
          </w:tcPr>
          <w:p w14:paraId="48E3B0DE" w14:textId="77777777" w:rsidR="00541219" w:rsidRDefault="00000000">
            <w:pPr>
              <w:spacing w:after="0"/>
              <w:ind w:left="5" w:firstLine="0"/>
              <w:jc w:val="center"/>
            </w:pPr>
            <w:r>
              <w:rPr>
                <w:color w:val="FFFFFF"/>
                <w:sz w:val="11"/>
              </w:rPr>
              <w:t xml:space="preserve">TEXTO/ANEEL </w:t>
            </w:r>
          </w:p>
        </w:tc>
        <w:tc>
          <w:tcPr>
            <w:tcW w:w="1229" w:type="dxa"/>
            <w:tcBorders>
              <w:top w:val="single" w:sz="6" w:space="0" w:color="000000"/>
              <w:left w:val="single" w:sz="6" w:space="0" w:color="000000"/>
              <w:bottom w:val="single" w:sz="6" w:space="0" w:color="000000"/>
              <w:right w:val="single" w:sz="6" w:space="0" w:color="000000"/>
            </w:tcBorders>
            <w:shd w:val="clear" w:color="auto" w:fill="FF0000"/>
          </w:tcPr>
          <w:p w14:paraId="62050199" w14:textId="77777777" w:rsidR="00541219" w:rsidRDefault="00000000">
            <w:pPr>
              <w:spacing w:after="0"/>
              <w:ind w:left="70" w:firstLine="0"/>
            </w:pPr>
            <w:r>
              <w:rPr>
                <w:color w:val="FFFFFF"/>
                <w:sz w:val="11"/>
              </w:rPr>
              <w:t>TEXTO/INSTITUIÇÃO</w:t>
            </w:r>
          </w:p>
        </w:tc>
        <w:tc>
          <w:tcPr>
            <w:tcW w:w="3691" w:type="dxa"/>
            <w:tcBorders>
              <w:top w:val="single" w:sz="6" w:space="0" w:color="000000"/>
              <w:left w:val="single" w:sz="6" w:space="0" w:color="000000"/>
              <w:bottom w:val="single" w:sz="6" w:space="0" w:color="000000"/>
              <w:right w:val="single" w:sz="6" w:space="0" w:color="000000"/>
            </w:tcBorders>
            <w:shd w:val="clear" w:color="auto" w:fill="FF0000"/>
          </w:tcPr>
          <w:p w14:paraId="751B3953" w14:textId="77777777" w:rsidR="00541219" w:rsidRDefault="00000000">
            <w:pPr>
              <w:spacing w:after="0"/>
              <w:ind w:left="23" w:firstLine="0"/>
              <w:jc w:val="center"/>
            </w:pPr>
            <w:r>
              <w:rPr>
                <w:color w:val="FFFFFF"/>
                <w:sz w:val="11"/>
              </w:rPr>
              <w:t>JUSTIFICATIVA/INSTITUIÇÃO</w:t>
            </w:r>
          </w:p>
        </w:tc>
      </w:tr>
      <w:tr w:rsidR="00541219" w14:paraId="3235A0B6" w14:textId="77777777">
        <w:trPr>
          <w:trHeight w:val="292"/>
        </w:trPr>
        <w:tc>
          <w:tcPr>
            <w:tcW w:w="5344" w:type="dxa"/>
            <w:tcBorders>
              <w:top w:val="double" w:sz="4" w:space="0" w:color="000000"/>
              <w:left w:val="single" w:sz="3" w:space="0" w:color="000000"/>
              <w:bottom w:val="single" w:sz="3" w:space="0" w:color="000000"/>
              <w:right w:val="single" w:sz="3" w:space="0" w:color="000000"/>
            </w:tcBorders>
          </w:tcPr>
          <w:p w14:paraId="4959493E" w14:textId="77777777" w:rsidR="00541219" w:rsidRDefault="00000000">
            <w:pPr>
              <w:spacing w:after="0"/>
              <w:ind w:left="0" w:firstLine="0"/>
            </w:pPr>
            <w:r>
              <w:rPr>
                <w:sz w:val="8"/>
              </w:rPr>
              <w:t>270. Por ser a Consulta ao Usuário no setor de distribuição um mecanismo diferente dos existentes de consulta, pode-se ser mais prescritivo no estabelecimento de quais assuntos a consulta deveria ser realizada. Nesse aspecto, propõe-se que seja utilizada Consulta aos Usuários para o Plano de investimentos previsto no parágrafo 1o do art. 6o do Decreto 12.068/24:</w:t>
            </w:r>
          </w:p>
        </w:tc>
        <w:tc>
          <w:tcPr>
            <w:tcW w:w="4920" w:type="dxa"/>
            <w:gridSpan w:val="2"/>
            <w:vMerge w:val="restart"/>
            <w:tcBorders>
              <w:top w:val="single" w:sz="6" w:space="0" w:color="000000"/>
              <w:left w:val="single" w:sz="3" w:space="0" w:color="000000"/>
              <w:bottom w:val="single" w:sz="3" w:space="0" w:color="000000"/>
              <w:right w:val="nil"/>
            </w:tcBorders>
          </w:tcPr>
          <w:p w14:paraId="015B9A28" w14:textId="77777777" w:rsidR="00541219" w:rsidRDefault="00541219">
            <w:pPr>
              <w:spacing w:after="160"/>
              <w:ind w:left="0" w:firstLine="0"/>
            </w:pPr>
          </w:p>
        </w:tc>
      </w:tr>
      <w:tr w:rsidR="00541219" w14:paraId="6F9C72E7"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4E633817" w14:textId="77777777" w:rsidR="00541219" w:rsidRDefault="00000000">
            <w:pPr>
              <w:spacing w:after="0"/>
              <w:ind w:left="497" w:firstLine="0"/>
            </w:pPr>
            <w:r>
              <w:rPr>
                <w:sz w:val="8"/>
              </w:rPr>
              <w:t xml:space="preserve">     Art. 6o Como compromisso pela prorrogação das concessões, as concessionárias:</w:t>
            </w:r>
          </w:p>
        </w:tc>
        <w:tc>
          <w:tcPr>
            <w:tcW w:w="0" w:type="auto"/>
            <w:gridSpan w:val="2"/>
            <w:vMerge/>
            <w:tcBorders>
              <w:top w:val="nil"/>
              <w:left w:val="single" w:sz="3" w:space="0" w:color="000000"/>
              <w:bottom w:val="single" w:sz="3" w:space="0" w:color="000000"/>
              <w:right w:val="nil"/>
            </w:tcBorders>
          </w:tcPr>
          <w:p w14:paraId="4F6BA4C1" w14:textId="77777777" w:rsidR="00541219" w:rsidRDefault="00541219">
            <w:pPr>
              <w:spacing w:after="160"/>
              <w:ind w:left="0" w:firstLine="0"/>
            </w:pPr>
          </w:p>
        </w:tc>
      </w:tr>
      <w:tr w:rsidR="00541219" w14:paraId="4D297AAB" w14:textId="77777777">
        <w:trPr>
          <w:trHeight w:val="662"/>
        </w:trPr>
        <w:tc>
          <w:tcPr>
            <w:tcW w:w="5344" w:type="dxa"/>
            <w:tcBorders>
              <w:top w:val="single" w:sz="3" w:space="0" w:color="000000"/>
              <w:left w:val="single" w:sz="3" w:space="0" w:color="000000"/>
              <w:bottom w:val="single" w:sz="3" w:space="0" w:color="000000"/>
              <w:right w:val="single" w:sz="3" w:space="0" w:color="000000"/>
            </w:tcBorders>
            <w:vAlign w:val="center"/>
          </w:tcPr>
          <w:p w14:paraId="5FF0EC3F" w14:textId="77777777" w:rsidR="00541219" w:rsidRDefault="00000000">
            <w:pPr>
              <w:spacing w:after="0"/>
              <w:ind w:left="497" w:firstLine="0"/>
            </w:pPr>
            <w:r>
              <w:rPr>
                <w:sz w:val="8"/>
              </w:rPr>
              <w:t xml:space="preserve">     I - </w:t>
            </w:r>
            <w:proofErr w:type="gramStart"/>
            <w:r>
              <w:rPr>
                <w:sz w:val="8"/>
              </w:rPr>
              <w:t>não</w:t>
            </w:r>
            <w:proofErr w:type="gramEnd"/>
            <w:r>
              <w:rPr>
                <w:sz w:val="8"/>
              </w:rPr>
              <w:t xml:space="preserve"> serão ressarcidas pela eventual abertura ao ambiente competitivo da prestação de serviços inicialmente por elas prestados, com vistas a beneficiar o usuário com ampliação da concorrência no setor elétrico;</w:t>
            </w:r>
          </w:p>
        </w:tc>
        <w:tc>
          <w:tcPr>
            <w:tcW w:w="1229" w:type="dxa"/>
            <w:tcBorders>
              <w:top w:val="single" w:sz="3" w:space="0" w:color="000000"/>
              <w:left w:val="single" w:sz="3" w:space="0" w:color="000000"/>
              <w:bottom w:val="single" w:sz="3" w:space="0" w:color="000000"/>
              <w:right w:val="single" w:sz="3" w:space="0" w:color="000000"/>
            </w:tcBorders>
            <w:vAlign w:val="center"/>
          </w:tcPr>
          <w:p w14:paraId="38A40F1E"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08E4D0C3" w14:textId="2EC70006" w:rsidR="00541219" w:rsidRDefault="00000000">
            <w:pPr>
              <w:spacing w:after="0"/>
              <w:ind w:left="5" w:firstLine="0"/>
            </w:pPr>
            <w:r>
              <w:t>Qualquer modelo concorrencial deve ser implementado, contudo os custos da abertura de mercado não podem recair totalmente no consumidor cativo como ocorre atualmente</w:t>
            </w:r>
            <w:r w:rsidR="004D0050">
              <w:t>. A</w:t>
            </w:r>
            <w:r>
              <w:t>ntes de flexibilizar é necessário que sejam aprovados instrumentos regulatórios para que todos tenham iguais responsabilidades sobre os custos, seja o mercado cativo, seja o mercado livre.</w:t>
            </w:r>
          </w:p>
        </w:tc>
      </w:tr>
      <w:tr w:rsidR="00541219" w14:paraId="0904E1B6" w14:textId="77777777">
        <w:trPr>
          <w:trHeight w:val="442"/>
        </w:trPr>
        <w:tc>
          <w:tcPr>
            <w:tcW w:w="5344" w:type="dxa"/>
            <w:tcBorders>
              <w:top w:val="single" w:sz="3" w:space="0" w:color="000000"/>
              <w:left w:val="single" w:sz="3" w:space="0" w:color="000000"/>
              <w:bottom w:val="single" w:sz="3" w:space="0" w:color="000000"/>
              <w:right w:val="single" w:sz="3" w:space="0" w:color="000000"/>
            </w:tcBorders>
            <w:vAlign w:val="center"/>
          </w:tcPr>
          <w:p w14:paraId="4B53C3F1" w14:textId="77777777" w:rsidR="00541219" w:rsidRDefault="00000000">
            <w:pPr>
              <w:spacing w:after="0"/>
              <w:ind w:left="497" w:firstLine="0"/>
            </w:pPr>
            <w:r>
              <w:rPr>
                <w:sz w:val="8"/>
              </w:rPr>
              <w:t xml:space="preserve">     II - </w:t>
            </w:r>
            <w:proofErr w:type="gramStart"/>
            <w:r>
              <w:rPr>
                <w:sz w:val="8"/>
              </w:rPr>
              <w:t>desenvolverão</w:t>
            </w:r>
            <w:proofErr w:type="gramEnd"/>
            <w:r>
              <w:rPr>
                <w:sz w:val="8"/>
              </w:rPr>
              <w:t xml:space="preserve"> ações para a redução da vulnerabilidade e para o aumento da resiliência das redes de distribuição frente a eventos climáticos, conforme regulação da Aneel;</w:t>
            </w:r>
          </w:p>
        </w:tc>
        <w:tc>
          <w:tcPr>
            <w:tcW w:w="1229" w:type="dxa"/>
            <w:tcBorders>
              <w:top w:val="single" w:sz="3" w:space="0" w:color="000000"/>
              <w:left w:val="single" w:sz="3" w:space="0" w:color="000000"/>
              <w:bottom w:val="single" w:sz="3" w:space="0" w:color="000000"/>
              <w:right w:val="single" w:sz="3" w:space="0" w:color="000000"/>
            </w:tcBorders>
            <w:vAlign w:val="center"/>
          </w:tcPr>
          <w:p w14:paraId="6790DBE0"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3B500CB9" w14:textId="77777777" w:rsidR="00541219" w:rsidRDefault="00000000" w:rsidP="00C731B1">
            <w:pPr>
              <w:spacing w:after="0"/>
              <w:ind w:left="5" w:firstLine="0"/>
              <w:jc w:val="both"/>
            </w:pPr>
            <w:r>
              <w:t>Os consumidores não estão dispostos a terem incluídos em suas faturas de energia os investimentos desnecessários. A melhoria da resiliência por vezes passa pelo aumento das despesas operacionais em manutenção preventiva, principalmente o manejo de árvores nas áreas urbanas e rural.</w:t>
            </w:r>
          </w:p>
        </w:tc>
      </w:tr>
      <w:tr w:rsidR="00541219" w14:paraId="65338BF6" w14:textId="77777777">
        <w:trPr>
          <w:trHeight w:val="442"/>
        </w:trPr>
        <w:tc>
          <w:tcPr>
            <w:tcW w:w="5344" w:type="dxa"/>
            <w:tcBorders>
              <w:top w:val="single" w:sz="3" w:space="0" w:color="000000"/>
              <w:left w:val="single" w:sz="3" w:space="0" w:color="000000"/>
              <w:bottom w:val="single" w:sz="3" w:space="0" w:color="000000"/>
              <w:right w:val="single" w:sz="3" w:space="0" w:color="000000"/>
            </w:tcBorders>
            <w:vAlign w:val="center"/>
          </w:tcPr>
          <w:p w14:paraId="1B53C80E" w14:textId="77777777" w:rsidR="00541219" w:rsidRDefault="00000000">
            <w:pPr>
              <w:spacing w:after="0"/>
              <w:ind w:left="497" w:firstLine="0"/>
            </w:pPr>
            <w:r>
              <w:rPr>
                <w:sz w:val="8"/>
              </w:rPr>
              <w:t xml:space="preserve">     III - desenvolverão ações para robustecer o nível de atendimento do serviço de eletricidade das áreas rurais, especialmente nas regiões com potencial para o agronegócio e a agricultura familiar, conforme regulação da Aneel; e</w:t>
            </w:r>
          </w:p>
        </w:tc>
        <w:tc>
          <w:tcPr>
            <w:tcW w:w="1229" w:type="dxa"/>
            <w:tcBorders>
              <w:top w:val="single" w:sz="3" w:space="0" w:color="000000"/>
              <w:left w:val="single" w:sz="3" w:space="0" w:color="000000"/>
              <w:bottom w:val="single" w:sz="3" w:space="0" w:color="000000"/>
              <w:right w:val="single" w:sz="3" w:space="0" w:color="000000"/>
            </w:tcBorders>
            <w:vAlign w:val="center"/>
          </w:tcPr>
          <w:p w14:paraId="782E78C1"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29DB82BE" w14:textId="77777777" w:rsidR="00541219" w:rsidRDefault="00000000" w:rsidP="00C731B1">
            <w:pPr>
              <w:spacing w:after="0"/>
              <w:ind w:left="5" w:firstLine="0"/>
              <w:jc w:val="both"/>
            </w:pPr>
            <w:r>
              <w:t>O reforço de extensas áreas rurais, dependendo da concessão, poderá impactar significativamente a tarifa de todos os consumidores, por isso, análise de custo-benefício priorizado adequações com crescimento de mercado é fundamental.</w:t>
            </w:r>
          </w:p>
        </w:tc>
      </w:tr>
      <w:tr w:rsidR="00541219" w14:paraId="6FAD21B1" w14:textId="77777777">
        <w:trPr>
          <w:trHeight w:val="773"/>
        </w:trPr>
        <w:tc>
          <w:tcPr>
            <w:tcW w:w="5344" w:type="dxa"/>
            <w:tcBorders>
              <w:top w:val="single" w:sz="3" w:space="0" w:color="000000"/>
              <w:left w:val="single" w:sz="3" w:space="0" w:color="000000"/>
              <w:bottom w:val="single" w:sz="3" w:space="0" w:color="000000"/>
              <w:right w:val="single" w:sz="3" w:space="0" w:color="000000"/>
            </w:tcBorders>
            <w:vAlign w:val="center"/>
          </w:tcPr>
          <w:p w14:paraId="058D4D83" w14:textId="77777777" w:rsidR="00541219" w:rsidRDefault="00000000">
            <w:pPr>
              <w:spacing w:after="0"/>
              <w:ind w:left="497" w:firstLine="0"/>
            </w:pPr>
            <w:r>
              <w:rPr>
                <w:sz w:val="8"/>
              </w:rPr>
              <w:t xml:space="preserve">     IV - </w:t>
            </w:r>
            <w:proofErr w:type="gramStart"/>
            <w:r>
              <w:rPr>
                <w:sz w:val="8"/>
              </w:rPr>
              <w:t>desenvolverão</w:t>
            </w:r>
            <w:proofErr w:type="gramEnd"/>
            <w:r>
              <w:rPr>
                <w:sz w:val="8"/>
              </w:rPr>
              <w:t xml:space="preserve"> ações que promovam a inclusão energética, a redução de perdas não técnicas, a regularização da prestação do serviço público em áreas de vulnerabilidade socioeconômica e o desenvolvimento tecnológico para a redução da pobreza energética, conforme diretriz do Ministério de Minas e Energia.</w:t>
            </w:r>
          </w:p>
        </w:tc>
        <w:tc>
          <w:tcPr>
            <w:tcW w:w="1229" w:type="dxa"/>
            <w:tcBorders>
              <w:top w:val="single" w:sz="3" w:space="0" w:color="000000"/>
              <w:left w:val="single" w:sz="3" w:space="0" w:color="000000"/>
              <w:bottom w:val="single" w:sz="3" w:space="0" w:color="000000"/>
              <w:right w:val="single" w:sz="3" w:space="0" w:color="000000"/>
            </w:tcBorders>
            <w:vAlign w:val="center"/>
          </w:tcPr>
          <w:p w14:paraId="18E358B5"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64CEE17B" w14:textId="77777777" w:rsidR="00541219" w:rsidRDefault="00000000" w:rsidP="00C731B1">
            <w:pPr>
              <w:spacing w:after="0"/>
              <w:ind w:left="5" w:right="5" w:firstLine="0"/>
              <w:jc w:val="both"/>
            </w:pPr>
            <w:r>
              <w:t>A redução de pobreza energética também é uma questão que deve ser dividida entre todos os consumidores cativos e livre e com o poder público. O tema não pode incidir apenas sobre o consumidor regulado de baixa tensão. Também na questão de combate a Perdas Não Técnicas e Inadimplência os custos não podem recair exclusivamente sobre o mercado cativo de baixa tesão, devem ser divididos com todos os consumidores, sejam do Grupo A, sejam do Grupo B.</w:t>
            </w:r>
          </w:p>
        </w:tc>
      </w:tr>
      <w:tr w:rsidR="00541219" w14:paraId="5E6C9333"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5FF286B9" w14:textId="77777777" w:rsidR="00541219" w:rsidRDefault="00000000">
            <w:pPr>
              <w:spacing w:after="0"/>
              <w:ind w:left="497" w:firstLine="0"/>
              <w:jc w:val="both"/>
            </w:pPr>
            <w:r>
              <w:rPr>
                <w:sz w:val="8"/>
              </w:rPr>
              <w:t xml:space="preserve">     § 1o Os compromissos de que trata o caput serão realizados durante todo o período de vigência contratual, a partir da assinatura do termo aditivo ao contrato de concessão, com planos de investimentos estabelecidos para cada ciclo tarifário e acompanhamento pela Aneel.</w:t>
            </w:r>
          </w:p>
        </w:tc>
        <w:tc>
          <w:tcPr>
            <w:tcW w:w="4920" w:type="dxa"/>
            <w:gridSpan w:val="2"/>
            <w:tcBorders>
              <w:top w:val="single" w:sz="3" w:space="0" w:color="000000"/>
              <w:left w:val="single" w:sz="3" w:space="0" w:color="000000"/>
              <w:bottom w:val="single" w:sz="3" w:space="0" w:color="000000"/>
              <w:right w:val="nil"/>
            </w:tcBorders>
          </w:tcPr>
          <w:p w14:paraId="7627581F" w14:textId="77777777" w:rsidR="00541219" w:rsidRDefault="00541219">
            <w:pPr>
              <w:spacing w:after="160"/>
              <w:ind w:left="0" w:firstLine="0"/>
            </w:pPr>
          </w:p>
        </w:tc>
      </w:tr>
      <w:tr w:rsidR="00541219" w14:paraId="77411CC6" w14:textId="77777777">
        <w:trPr>
          <w:trHeight w:val="773"/>
        </w:trPr>
        <w:tc>
          <w:tcPr>
            <w:tcW w:w="5344" w:type="dxa"/>
            <w:tcBorders>
              <w:top w:val="single" w:sz="3" w:space="0" w:color="000000"/>
              <w:left w:val="single" w:sz="3" w:space="0" w:color="000000"/>
              <w:bottom w:val="single" w:sz="3" w:space="0" w:color="000000"/>
              <w:right w:val="single" w:sz="3" w:space="0" w:color="000000"/>
            </w:tcBorders>
            <w:vAlign w:val="center"/>
          </w:tcPr>
          <w:p w14:paraId="0657E1C6" w14:textId="77777777" w:rsidR="00541219" w:rsidRDefault="00000000">
            <w:pPr>
              <w:spacing w:after="0"/>
              <w:ind w:left="497" w:firstLine="0"/>
            </w:pPr>
            <w:r>
              <w:rPr>
                <w:sz w:val="8"/>
              </w:rPr>
              <w:t xml:space="preserve">     § 2o Os recursos para os investimentos de que tratam os incisos III e IV do caput advirão das receitas acessórias próprias e complementares e dos valores arrecadados referentes à ultrapassagem da demanda e ao excedente de reativos das concessionárias e poderão ser complementados por políticas públicas específicas estabelecidas para o mesmo fim.</w:t>
            </w:r>
          </w:p>
        </w:tc>
        <w:tc>
          <w:tcPr>
            <w:tcW w:w="1229" w:type="dxa"/>
            <w:tcBorders>
              <w:top w:val="single" w:sz="3" w:space="0" w:color="000000"/>
              <w:left w:val="single" w:sz="3" w:space="0" w:color="000000"/>
              <w:bottom w:val="single" w:sz="3" w:space="0" w:color="000000"/>
              <w:right w:val="single" w:sz="3" w:space="0" w:color="000000"/>
            </w:tcBorders>
            <w:vAlign w:val="center"/>
          </w:tcPr>
          <w:p w14:paraId="747D1F06"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7F1C2EEC" w14:textId="77777777" w:rsidR="00541219" w:rsidRDefault="00000000" w:rsidP="00C731B1">
            <w:pPr>
              <w:spacing w:after="0"/>
              <w:ind w:left="5" w:firstLine="0"/>
              <w:jc w:val="both"/>
            </w:pPr>
            <w:r>
              <w:t>A redução de pobreza energética também é uma questão de política pública, devendo, portanto, ser responsabilidade do poder público. O tema não pode incidir apenas sobre o consumidor regulado de baixa tensão. Também na questão de combate a Perdas Não Técnicas e Inadimplência os custos não podem recair exclusivamente sobre o mercado cativo de baixa tesão, devem ser divididos com todos os consumidores, sejam do Grupo A, sejam do Grupo B.</w:t>
            </w:r>
          </w:p>
        </w:tc>
      </w:tr>
      <w:tr w:rsidR="00541219" w14:paraId="21312546" w14:textId="77777777">
        <w:trPr>
          <w:trHeight w:val="845"/>
        </w:trPr>
        <w:tc>
          <w:tcPr>
            <w:tcW w:w="5344" w:type="dxa"/>
            <w:tcBorders>
              <w:top w:val="single" w:sz="3" w:space="0" w:color="000000"/>
              <w:left w:val="single" w:sz="3" w:space="0" w:color="000000"/>
              <w:bottom w:val="single" w:sz="3" w:space="0" w:color="000000"/>
              <w:right w:val="single" w:sz="3" w:space="0" w:color="000000"/>
            </w:tcBorders>
          </w:tcPr>
          <w:p w14:paraId="17F9E0AD" w14:textId="77777777" w:rsidR="00541219" w:rsidRDefault="00000000">
            <w:pPr>
              <w:spacing w:after="0" w:line="252" w:lineRule="auto"/>
              <w:ind w:left="0" w:firstLine="0"/>
            </w:pPr>
            <w:r>
              <w:rPr>
                <w:sz w:val="8"/>
              </w:rPr>
              <w:t xml:space="preserve">271. De acordo com o parágrafo 2o do artigo destacado, os recursos a serem utilizados nas ações advirão das receitas obtidas com UDEROR. Tais receitas, que eram anteriormente direcionadas diretamente aos consumidores (à modicidade tarifária nos processos tarifários), passarão a ser fonte de financiamento das distribuidoras para as ações mencionadas. Isso traz mais responsabilidade às concessionárias em justificar a forma de utilização de um recurso que teve sua alocação alterada. Por outro lado, é oportunidade, por exemplo, de promover o engajamento e maior entendimento de usuários normalmente afastados do acesso amplo e seguro à energia elétrica, em situação de pobreza energética. Pesquisa realizada pelo Painel Unificador das Favelas (PUF) e pela Rede Favela Sustentável (RFS) evidencia que “as faixas de renda mais baixas têm, proporcionalmente, mais pessoas que não se relacionam com a </w:t>
            </w:r>
          </w:p>
          <w:p w14:paraId="682D135A" w14:textId="77777777" w:rsidR="00541219" w:rsidRDefault="00000000">
            <w:pPr>
              <w:spacing w:after="0"/>
              <w:ind w:left="0" w:firstLine="0"/>
            </w:pPr>
            <w:r>
              <w:rPr>
                <w:sz w:val="8"/>
              </w:rPr>
              <w:t>concessionária. Conforme se aumenta a faixa de renda, essa proporção diminui, até que, nas duas faixas de renda mais altas, a relação se inverte, e mais pessoas passam a solicitar serviços da concessionária do que não solicitar”</w:t>
            </w:r>
          </w:p>
        </w:tc>
        <w:tc>
          <w:tcPr>
            <w:tcW w:w="4920" w:type="dxa"/>
            <w:gridSpan w:val="2"/>
            <w:tcBorders>
              <w:top w:val="single" w:sz="3" w:space="0" w:color="000000"/>
              <w:left w:val="single" w:sz="3" w:space="0" w:color="000000"/>
              <w:bottom w:val="single" w:sz="3" w:space="0" w:color="000000"/>
              <w:right w:val="nil"/>
            </w:tcBorders>
          </w:tcPr>
          <w:p w14:paraId="244C60FA" w14:textId="77777777" w:rsidR="00541219" w:rsidRDefault="00541219">
            <w:pPr>
              <w:spacing w:after="160"/>
              <w:ind w:left="0" w:firstLine="0"/>
            </w:pPr>
          </w:p>
        </w:tc>
      </w:tr>
      <w:tr w:rsidR="00541219" w14:paraId="56340774"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756FA8B9" w14:textId="77777777" w:rsidR="00541219" w:rsidRDefault="00000000">
            <w:pPr>
              <w:spacing w:after="0"/>
              <w:ind w:left="0" w:firstLine="0"/>
            </w:pPr>
            <w:r>
              <w:rPr>
                <w:sz w:val="8"/>
              </w:rPr>
              <w:t>272. Portanto, é pertinente que o Plano de investimentos, oportunamente estabelecido pelo Decreto, seja construído com a participação dos usuários, por meio da Consulta aos Usuários, antes de submetido à ANEEL, e que ele demonstre claramente essa participação. Destaca-se, novamente, que o processo a ser realizado pela distribuidora deve se basear nas melhores práticas de engajamento do consumidor. Assim, o regulador fará acompanhamento de um plano que foi legitimado pelos usuários anteriormente.</w:t>
            </w:r>
          </w:p>
        </w:tc>
        <w:tc>
          <w:tcPr>
            <w:tcW w:w="1229" w:type="dxa"/>
            <w:tcBorders>
              <w:top w:val="single" w:sz="3" w:space="0" w:color="000000"/>
              <w:left w:val="single" w:sz="3" w:space="0" w:color="000000"/>
              <w:bottom w:val="single" w:sz="3" w:space="0" w:color="000000"/>
              <w:right w:val="single" w:sz="3" w:space="0" w:color="000000"/>
            </w:tcBorders>
            <w:vAlign w:val="center"/>
          </w:tcPr>
          <w:p w14:paraId="57A8A72F"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7C229827" w14:textId="77777777" w:rsidR="00541219" w:rsidRDefault="00000000" w:rsidP="00C731B1">
            <w:pPr>
              <w:spacing w:after="0"/>
              <w:ind w:left="5" w:firstLine="0"/>
              <w:jc w:val="both"/>
            </w:pPr>
            <w:r>
              <w:t>A consulta sobre o Plano de Investimentos deve ser feita ao Conselho de Consumidores objeto de constituição conforme prevê o art. 13 da Lei nº 8.631/1993.</w:t>
            </w:r>
          </w:p>
        </w:tc>
      </w:tr>
      <w:tr w:rsidR="00541219" w14:paraId="0207C85A" w14:textId="77777777">
        <w:trPr>
          <w:trHeight w:val="470"/>
        </w:trPr>
        <w:tc>
          <w:tcPr>
            <w:tcW w:w="5344" w:type="dxa"/>
            <w:tcBorders>
              <w:top w:val="single" w:sz="3" w:space="0" w:color="000000"/>
              <w:left w:val="single" w:sz="3" w:space="0" w:color="000000"/>
              <w:bottom w:val="single" w:sz="3" w:space="0" w:color="000000"/>
              <w:right w:val="single" w:sz="3" w:space="0" w:color="000000"/>
            </w:tcBorders>
          </w:tcPr>
          <w:p w14:paraId="250ECD93" w14:textId="77777777" w:rsidR="00541219" w:rsidRDefault="00000000">
            <w:pPr>
              <w:spacing w:after="0" w:line="265" w:lineRule="auto"/>
              <w:ind w:left="0" w:firstLine="0"/>
              <w:jc w:val="both"/>
            </w:pPr>
            <w:r>
              <w:rPr>
                <w:sz w:val="8"/>
              </w:rPr>
              <w:t xml:space="preserve">273. Ainda no caso específico, como se trata de plano de investimentos, é importante que as partes trabalhem a otimização do uso do </w:t>
            </w:r>
            <w:proofErr w:type="spellStart"/>
            <w:r>
              <w:rPr>
                <w:sz w:val="8"/>
              </w:rPr>
              <w:t>capex</w:t>
            </w:r>
            <w:proofErr w:type="spellEnd"/>
            <w:r>
              <w:rPr>
                <w:sz w:val="8"/>
              </w:rPr>
              <w:t xml:space="preserve"> para o princípio de modicidade tarifária, ou seja, a alocação dos investimentos versus custos e propensão a pagar do consumidor. Ainda, podem ser trabalhadas </w:t>
            </w:r>
          </w:p>
          <w:p w14:paraId="43F1517A" w14:textId="77777777" w:rsidR="00541219" w:rsidRDefault="00000000">
            <w:pPr>
              <w:spacing w:after="0"/>
              <w:ind w:left="0" w:firstLine="0"/>
            </w:pPr>
            <w:r>
              <w:rPr>
                <w:sz w:val="8"/>
              </w:rPr>
              <w:t>questões como estabelecimento de prioridades, custo-benefício de investimentos, alternativas ao investimento, impacto na tarifa e forma de acompanhamento do plano pelos usuários, de modo que as ações de que trata o Decreto sejam construídas com a participação dos usuários.</w:t>
            </w:r>
          </w:p>
        </w:tc>
        <w:tc>
          <w:tcPr>
            <w:tcW w:w="4920" w:type="dxa"/>
            <w:gridSpan w:val="2"/>
            <w:vMerge w:val="restart"/>
            <w:tcBorders>
              <w:top w:val="single" w:sz="3" w:space="0" w:color="000000"/>
              <w:left w:val="single" w:sz="3" w:space="0" w:color="000000"/>
              <w:bottom w:val="single" w:sz="3" w:space="0" w:color="000000"/>
              <w:right w:val="nil"/>
            </w:tcBorders>
          </w:tcPr>
          <w:p w14:paraId="1BCF7D54" w14:textId="77777777" w:rsidR="00541219" w:rsidRDefault="00541219">
            <w:pPr>
              <w:spacing w:after="160"/>
              <w:ind w:left="0" w:firstLine="0"/>
            </w:pPr>
          </w:p>
        </w:tc>
      </w:tr>
      <w:tr w:rsidR="00541219" w14:paraId="7F798B6D" w14:textId="77777777">
        <w:trPr>
          <w:trHeight w:val="658"/>
        </w:trPr>
        <w:tc>
          <w:tcPr>
            <w:tcW w:w="5344" w:type="dxa"/>
            <w:tcBorders>
              <w:top w:val="single" w:sz="3" w:space="0" w:color="000000"/>
              <w:left w:val="single" w:sz="3" w:space="0" w:color="000000"/>
              <w:bottom w:val="single" w:sz="3" w:space="0" w:color="000000"/>
              <w:right w:val="single" w:sz="3" w:space="0" w:color="000000"/>
            </w:tcBorders>
          </w:tcPr>
          <w:p w14:paraId="7F9DC715" w14:textId="77777777" w:rsidR="00541219" w:rsidRDefault="00000000">
            <w:pPr>
              <w:spacing w:after="0"/>
              <w:ind w:left="0" w:firstLine="0"/>
            </w:pPr>
            <w:r>
              <w:rPr>
                <w:sz w:val="8"/>
              </w:rPr>
              <w:t>274. Há, ainda, outros pontos novos que o Decreto traz, que poderiam ser desenvolvidos pela distribuidora por meio da Consulta aos Usuários. A elaboração de plano de investimentos por parte da distribuidora, na possibilidade de a ANEEL promover o reconhecimento de custos de capital e de operação entre revisões tarifárias, traz mais legitimidade ao pleito por essa alteração de modelo. Também, o estabelecimento de nova estrutura tarifária pela distribuidora, mais especificamente, de tarifas diferenciadas utilizando critérios técnicos, locacionais, de qualidade e custos específicos de atendimento aos distintos segmentos de usuários e de tarifas diferenciadas para áreas de elevada complexidade ao combate às perdas não técnicas e de elevada inadimplência, também poderia ser precedido de Consulta aos Usuários. Propõe-se que esses e outros possíveis tópicos sejam tratados na regulação.</w:t>
            </w:r>
          </w:p>
        </w:tc>
        <w:tc>
          <w:tcPr>
            <w:tcW w:w="0" w:type="auto"/>
            <w:gridSpan w:val="2"/>
            <w:vMerge/>
            <w:tcBorders>
              <w:top w:val="nil"/>
              <w:left w:val="single" w:sz="3" w:space="0" w:color="000000"/>
              <w:bottom w:val="nil"/>
              <w:right w:val="nil"/>
            </w:tcBorders>
          </w:tcPr>
          <w:p w14:paraId="62EB7F25" w14:textId="77777777" w:rsidR="00541219" w:rsidRDefault="00541219">
            <w:pPr>
              <w:spacing w:after="160"/>
              <w:ind w:left="0" w:firstLine="0"/>
            </w:pPr>
          </w:p>
        </w:tc>
      </w:tr>
      <w:tr w:rsidR="00541219" w14:paraId="03E24D9A"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74E6BE65" w14:textId="77777777" w:rsidR="00541219" w:rsidRDefault="00000000">
            <w:pPr>
              <w:spacing w:after="0"/>
              <w:ind w:left="0" w:firstLine="0"/>
            </w:pPr>
            <w:r>
              <w:rPr>
                <w:sz w:val="8"/>
              </w:rPr>
              <w:t>275. Finalmente, segue o texto a ser alocado ao contrato de concessão referente à Consulta aos Usuários:</w:t>
            </w:r>
          </w:p>
        </w:tc>
        <w:tc>
          <w:tcPr>
            <w:tcW w:w="0" w:type="auto"/>
            <w:gridSpan w:val="2"/>
            <w:vMerge/>
            <w:tcBorders>
              <w:top w:val="nil"/>
              <w:left w:val="single" w:sz="3" w:space="0" w:color="000000"/>
              <w:bottom w:val="single" w:sz="3" w:space="0" w:color="000000"/>
              <w:right w:val="nil"/>
            </w:tcBorders>
          </w:tcPr>
          <w:p w14:paraId="532314D0" w14:textId="77777777" w:rsidR="00541219" w:rsidRDefault="00541219">
            <w:pPr>
              <w:spacing w:after="160"/>
              <w:ind w:left="0" w:firstLine="0"/>
            </w:pPr>
          </w:p>
        </w:tc>
      </w:tr>
      <w:tr w:rsidR="00541219" w14:paraId="05223020" w14:textId="77777777">
        <w:trPr>
          <w:trHeight w:val="331"/>
        </w:trPr>
        <w:tc>
          <w:tcPr>
            <w:tcW w:w="5344" w:type="dxa"/>
            <w:tcBorders>
              <w:top w:val="single" w:sz="3" w:space="0" w:color="000000"/>
              <w:left w:val="single" w:sz="3" w:space="0" w:color="000000"/>
              <w:bottom w:val="single" w:sz="3" w:space="0" w:color="000000"/>
              <w:right w:val="single" w:sz="3" w:space="0" w:color="000000"/>
            </w:tcBorders>
          </w:tcPr>
          <w:p w14:paraId="1BC7BEDA" w14:textId="77777777" w:rsidR="00541219" w:rsidRDefault="00000000">
            <w:pPr>
              <w:spacing w:after="0"/>
              <w:ind w:left="497" w:firstLine="0"/>
            </w:pPr>
            <w:r>
              <w:rPr>
                <w:sz w:val="8"/>
              </w:rPr>
              <w:t xml:space="preserve">     Cláusula XX – Consulta aos Usuários</w:t>
            </w:r>
          </w:p>
          <w:p w14:paraId="58F1639F" w14:textId="77777777" w:rsidR="00541219" w:rsidRDefault="00000000">
            <w:pPr>
              <w:spacing w:after="0"/>
              <w:ind w:left="497" w:firstLine="0"/>
            </w:pPr>
            <w:r>
              <w:rPr>
                <w:sz w:val="8"/>
              </w:rPr>
              <w:t xml:space="preserve">     O objetivo das consultas é induzir efetiva cooperação e compartilhamento de informações entre DISTRIBUIDORA e partes interessadas relevantes, de forma a assegurar que os diversos interesses dos usuários sejam levados em consideração nas ações da concessionária.</w:t>
            </w:r>
          </w:p>
        </w:tc>
        <w:tc>
          <w:tcPr>
            <w:tcW w:w="1229" w:type="dxa"/>
            <w:tcBorders>
              <w:top w:val="single" w:sz="3" w:space="0" w:color="000000"/>
              <w:left w:val="single" w:sz="3" w:space="0" w:color="000000"/>
              <w:bottom w:val="single" w:sz="3" w:space="0" w:color="000000"/>
              <w:right w:val="single" w:sz="3" w:space="0" w:color="000000"/>
            </w:tcBorders>
            <w:vAlign w:val="center"/>
          </w:tcPr>
          <w:p w14:paraId="3F87ADF8"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5329C973" w14:textId="0516F052" w:rsidR="00541219" w:rsidRDefault="00000000" w:rsidP="00C731B1">
            <w:pPr>
              <w:spacing w:after="0"/>
              <w:ind w:left="5" w:right="7" w:firstLine="0"/>
              <w:jc w:val="both"/>
            </w:pPr>
            <w:r>
              <w:t xml:space="preserve">A consulta sobre o Plano de Investimentos deve ser feita ao Conselho de Consumidores objeto de constituição conforme </w:t>
            </w:r>
            <w:r w:rsidR="00C731B1">
              <w:t>prevê</w:t>
            </w:r>
            <w:r>
              <w:t xml:space="preserve"> o art. 13 da Lei nº 8.631/1993 e regulado pela REN nº 963/2021. </w:t>
            </w:r>
          </w:p>
        </w:tc>
      </w:tr>
      <w:tr w:rsidR="00541219" w14:paraId="1F6B1AE2"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0B9CEBF5" w14:textId="77777777" w:rsidR="00541219" w:rsidRDefault="00000000">
            <w:pPr>
              <w:spacing w:after="0"/>
              <w:ind w:left="0" w:right="53" w:firstLine="0"/>
              <w:jc w:val="center"/>
            </w:pPr>
            <w:r>
              <w:rPr>
                <w:sz w:val="8"/>
              </w:rPr>
              <w:t xml:space="preserve">     Subcláusula Primeira – a DISTRIBUIDORA deverá consultar as partes interessadas relevantes, pelo menos, ao seguinte: </w:t>
            </w:r>
          </w:p>
        </w:tc>
        <w:tc>
          <w:tcPr>
            <w:tcW w:w="4920" w:type="dxa"/>
            <w:gridSpan w:val="2"/>
            <w:tcBorders>
              <w:top w:val="single" w:sz="3" w:space="0" w:color="000000"/>
              <w:left w:val="single" w:sz="3" w:space="0" w:color="000000"/>
              <w:bottom w:val="single" w:sz="3" w:space="0" w:color="000000"/>
              <w:right w:val="nil"/>
            </w:tcBorders>
          </w:tcPr>
          <w:p w14:paraId="1E14CF8D" w14:textId="77777777" w:rsidR="00541219" w:rsidRDefault="00541219">
            <w:pPr>
              <w:spacing w:after="160"/>
              <w:ind w:left="0" w:firstLine="0"/>
            </w:pPr>
          </w:p>
        </w:tc>
      </w:tr>
      <w:tr w:rsidR="00541219" w14:paraId="104CDBAA" w14:textId="77777777">
        <w:trPr>
          <w:trHeight w:val="331"/>
        </w:trPr>
        <w:tc>
          <w:tcPr>
            <w:tcW w:w="5344" w:type="dxa"/>
            <w:tcBorders>
              <w:top w:val="single" w:sz="3" w:space="0" w:color="000000"/>
              <w:left w:val="single" w:sz="3" w:space="0" w:color="000000"/>
              <w:bottom w:val="single" w:sz="3" w:space="0" w:color="000000"/>
              <w:right w:val="single" w:sz="3" w:space="0" w:color="000000"/>
            </w:tcBorders>
          </w:tcPr>
          <w:p w14:paraId="6AF30E97" w14:textId="77777777" w:rsidR="00541219" w:rsidRDefault="00000000">
            <w:pPr>
              <w:spacing w:after="0"/>
              <w:ind w:left="0" w:right="61" w:firstLine="0"/>
              <w:jc w:val="right"/>
            </w:pPr>
            <w:r>
              <w:rPr>
                <w:sz w:val="8"/>
              </w:rPr>
              <w:t xml:space="preserve">     I - </w:t>
            </w:r>
            <w:proofErr w:type="gramStart"/>
            <w:r>
              <w:rPr>
                <w:sz w:val="8"/>
              </w:rPr>
              <w:t>elaboração</w:t>
            </w:r>
            <w:proofErr w:type="gramEnd"/>
            <w:r>
              <w:rPr>
                <w:sz w:val="8"/>
              </w:rPr>
              <w:t xml:space="preserve"> de plano de investimento para cada ciclo tarifário contendo as ações dispostas nos itens XVIII, XIX e XX da </w:t>
            </w:r>
          </w:p>
          <w:p w14:paraId="0983A36E" w14:textId="77777777" w:rsidR="00541219" w:rsidRDefault="00000000">
            <w:pPr>
              <w:spacing w:after="0"/>
              <w:ind w:left="994" w:firstLine="0"/>
            </w:pPr>
            <w:r>
              <w:rPr>
                <w:sz w:val="8"/>
              </w:rPr>
              <w:t>Cláusula Terceira deste contrato;</w:t>
            </w:r>
          </w:p>
        </w:tc>
        <w:tc>
          <w:tcPr>
            <w:tcW w:w="1229" w:type="dxa"/>
            <w:tcBorders>
              <w:top w:val="single" w:sz="3" w:space="0" w:color="000000"/>
              <w:left w:val="single" w:sz="3" w:space="0" w:color="000000"/>
              <w:bottom w:val="single" w:sz="3" w:space="0" w:color="000000"/>
              <w:right w:val="single" w:sz="3" w:space="0" w:color="000000"/>
            </w:tcBorders>
            <w:vAlign w:val="center"/>
          </w:tcPr>
          <w:p w14:paraId="1A216E15"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0F88DB2C" w14:textId="37B27BA5" w:rsidR="00541219" w:rsidRDefault="00000000" w:rsidP="00C731B1">
            <w:pPr>
              <w:spacing w:after="0"/>
              <w:ind w:left="5" w:right="7" w:firstLine="0"/>
              <w:jc w:val="both"/>
            </w:pPr>
            <w:r>
              <w:t xml:space="preserve">A consulta sobre o Plano de Investimentos deve ser feita ao Conselho de Consumidores objeto de constituição conforme </w:t>
            </w:r>
            <w:r w:rsidR="00C731B1">
              <w:t>prevê</w:t>
            </w:r>
            <w:r>
              <w:t xml:space="preserve"> o art. 13 da Lei nº 8.631/1993 e regulado pela REN nº 963/2021.</w:t>
            </w:r>
          </w:p>
        </w:tc>
      </w:tr>
      <w:tr w:rsidR="00541219" w14:paraId="7E60B338"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6F93B078" w14:textId="77777777" w:rsidR="00541219" w:rsidRDefault="00000000">
            <w:pPr>
              <w:spacing w:after="0"/>
              <w:ind w:left="994" w:firstLine="0"/>
            </w:pPr>
            <w:r>
              <w:rPr>
                <w:sz w:val="8"/>
              </w:rPr>
              <w:t xml:space="preserve">     II - </w:t>
            </w:r>
            <w:proofErr w:type="gramStart"/>
            <w:r>
              <w:rPr>
                <w:sz w:val="8"/>
              </w:rPr>
              <w:t>demais</w:t>
            </w:r>
            <w:proofErr w:type="gramEnd"/>
            <w:r>
              <w:rPr>
                <w:sz w:val="8"/>
              </w:rPr>
              <w:t xml:space="preserve"> temas previstos em regulação da ANEEL.</w:t>
            </w:r>
          </w:p>
        </w:tc>
        <w:tc>
          <w:tcPr>
            <w:tcW w:w="4920" w:type="dxa"/>
            <w:gridSpan w:val="2"/>
            <w:vMerge w:val="restart"/>
            <w:tcBorders>
              <w:top w:val="single" w:sz="3" w:space="0" w:color="000000"/>
              <w:left w:val="single" w:sz="3" w:space="0" w:color="000000"/>
              <w:bottom w:val="single" w:sz="3" w:space="0" w:color="000000"/>
              <w:right w:val="nil"/>
            </w:tcBorders>
          </w:tcPr>
          <w:p w14:paraId="0FE5CFC7" w14:textId="77777777" w:rsidR="00541219" w:rsidRDefault="00541219">
            <w:pPr>
              <w:spacing w:after="160"/>
              <w:ind w:left="0" w:firstLine="0"/>
            </w:pPr>
          </w:p>
        </w:tc>
      </w:tr>
      <w:tr w:rsidR="00541219" w14:paraId="70BA9071"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5EC878CF" w14:textId="77777777" w:rsidR="00541219" w:rsidRDefault="00000000">
            <w:pPr>
              <w:spacing w:after="0"/>
              <w:ind w:left="497" w:firstLine="0"/>
            </w:pPr>
            <w:r>
              <w:rPr>
                <w:sz w:val="8"/>
              </w:rPr>
              <w:t xml:space="preserve">     Subcláusula Segunda - A DISTRIBUIDORA deve estabelecer processo estruturado para condução da Consulta aos Usuários, identificando as partes interessadas em cada ação e que promova sua efetividade, conforme regulamento.</w:t>
            </w:r>
          </w:p>
        </w:tc>
        <w:tc>
          <w:tcPr>
            <w:tcW w:w="0" w:type="auto"/>
            <w:gridSpan w:val="2"/>
            <w:vMerge/>
            <w:tcBorders>
              <w:top w:val="nil"/>
              <w:left w:val="single" w:sz="3" w:space="0" w:color="000000"/>
              <w:bottom w:val="single" w:sz="3" w:space="0" w:color="000000"/>
              <w:right w:val="nil"/>
            </w:tcBorders>
          </w:tcPr>
          <w:p w14:paraId="4BCF74A4" w14:textId="77777777" w:rsidR="00541219" w:rsidRDefault="00541219">
            <w:pPr>
              <w:spacing w:after="160"/>
              <w:ind w:left="0" w:firstLine="0"/>
            </w:pPr>
          </w:p>
        </w:tc>
      </w:tr>
      <w:tr w:rsidR="00541219" w14:paraId="3C228E26" w14:textId="77777777">
        <w:trPr>
          <w:trHeight w:val="938"/>
        </w:trPr>
        <w:tc>
          <w:tcPr>
            <w:tcW w:w="5344" w:type="dxa"/>
            <w:tcBorders>
              <w:top w:val="single" w:sz="3" w:space="0" w:color="000000"/>
              <w:left w:val="single" w:sz="3" w:space="0" w:color="000000"/>
              <w:bottom w:val="single" w:sz="3" w:space="0" w:color="000000"/>
              <w:right w:val="single" w:sz="3" w:space="0" w:color="000000"/>
            </w:tcBorders>
          </w:tcPr>
          <w:p w14:paraId="40442939" w14:textId="77777777" w:rsidR="00541219" w:rsidRDefault="00000000">
            <w:pPr>
              <w:spacing w:after="0"/>
              <w:ind w:left="0" w:firstLine="0"/>
            </w:pPr>
            <w:r>
              <w:rPr>
                <w:sz w:val="8"/>
              </w:rPr>
              <w:lastRenderedPageBreak/>
              <w:t>276. Outro aspecto que se propõe envolve a governança e gestão orçamentária do ONS. Há um longo histórico de análises, debates e decisões da Diretoria da ANEEL sobre este tema, que, de forma bastante sintética, conclui pela necessidade de se buscar um incentivo para que os agentes que compõem a governança do Operador passem a dispensar maiores esforços na busca da eficiência alocativa dos recursos orçamentários do ONS, com consequente aumento da eficiência e eficácia na gestão dos recursos destinados ao Operador. Diferentemente da CCEE, o orçamento do ONS desde a sua concepção é praticamente coberto com recursos advindos da Tarifa de Uso dos Sistemas de Transmissão – TUST (aproximadamente 97%), cabendo à Contribuição Associativa paga pelos seus associados uma parcela pequena (aproximadamente 3%). Ocorre que os valores arrecadados via EUST diferem, em muito, da composição dos seus membros associados, que possuem direito a voto nas Assembleias Gerais do operador. Os recursos arrecadados via EUST advém dos usuários da Rede Básica, formados majoritariamente por Distribuidoras e por Centrais Geradoras que, até recentemente, possuíam a estabilização da sua TUST. Já a Contribuição Associativa é rateada na proporção das categorias de Produção, Transporte e Consumo, compostas da seguinte forma:</w:t>
            </w:r>
          </w:p>
        </w:tc>
        <w:tc>
          <w:tcPr>
            <w:tcW w:w="1229" w:type="dxa"/>
            <w:tcBorders>
              <w:top w:val="single" w:sz="3" w:space="0" w:color="000000"/>
              <w:left w:val="single" w:sz="3" w:space="0" w:color="000000"/>
              <w:bottom w:val="single" w:sz="3" w:space="0" w:color="000000"/>
              <w:right w:val="single" w:sz="3" w:space="0" w:color="000000"/>
            </w:tcBorders>
            <w:vAlign w:val="center"/>
          </w:tcPr>
          <w:p w14:paraId="11EE5863"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vAlign w:val="center"/>
          </w:tcPr>
          <w:p w14:paraId="7FC177EC" w14:textId="1CE9A1F9" w:rsidR="00541219" w:rsidRDefault="00000000" w:rsidP="00C731B1">
            <w:pPr>
              <w:spacing w:after="0"/>
              <w:ind w:left="5" w:firstLine="0"/>
              <w:jc w:val="both"/>
            </w:pPr>
            <w:r>
              <w:t xml:space="preserve">Os consumidores cativos (ACR) já são excessivamente onerados por </w:t>
            </w:r>
            <w:r w:rsidR="00C731B1">
              <w:t>subsídios</w:t>
            </w:r>
            <w:r>
              <w:t xml:space="preserve"> às fontes incentivadas de 50% da TUST e TUSD que cuja </w:t>
            </w:r>
            <w:r w:rsidR="00C731B1">
              <w:t>expansão</w:t>
            </w:r>
            <w:r>
              <w:t xml:space="preserve"> tem sido concentrada para o mercado livre (ACL), portanto somos totalmente favoráveis a alteração da forma de cobrança do Orçamento do ONS de forma mais justa e equilibrada.</w:t>
            </w:r>
          </w:p>
        </w:tc>
      </w:tr>
      <w:tr w:rsidR="00541219" w14:paraId="6B7F04FA"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14B4138F" w14:textId="77777777" w:rsidR="00541219" w:rsidRDefault="00000000">
            <w:pPr>
              <w:spacing w:after="0"/>
              <w:ind w:left="0" w:firstLine="0"/>
            </w:pPr>
            <w:r>
              <w:rPr>
                <w:sz w:val="8"/>
              </w:rPr>
              <w:t xml:space="preserve">     • Aproximadamente 35,7% Categoria Produção: agentes de geração e agentes importadores;</w:t>
            </w:r>
          </w:p>
        </w:tc>
        <w:tc>
          <w:tcPr>
            <w:tcW w:w="4920" w:type="dxa"/>
            <w:gridSpan w:val="2"/>
            <w:vMerge w:val="restart"/>
            <w:tcBorders>
              <w:top w:val="single" w:sz="3" w:space="0" w:color="000000"/>
              <w:left w:val="single" w:sz="3" w:space="0" w:color="000000"/>
              <w:bottom w:val="single" w:sz="3" w:space="0" w:color="000000"/>
              <w:right w:val="nil"/>
            </w:tcBorders>
          </w:tcPr>
          <w:p w14:paraId="5B5F20ED" w14:textId="77777777" w:rsidR="00541219" w:rsidRDefault="00541219">
            <w:pPr>
              <w:spacing w:after="160"/>
              <w:ind w:left="0" w:firstLine="0"/>
            </w:pPr>
          </w:p>
        </w:tc>
      </w:tr>
      <w:tr w:rsidR="00541219" w14:paraId="68E12459"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02EEE5B5" w14:textId="77777777" w:rsidR="00541219" w:rsidRDefault="00000000">
            <w:pPr>
              <w:spacing w:after="0"/>
              <w:ind w:left="0" w:firstLine="0"/>
            </w:pPr>
            <w:r>
              <w:rPr>
                <w:sz w:val="8"/>
              </w:rPr>
              <w:t xml:space="preserve">     • Aproximadamente 28,6% Categoria Transporte: agentes de transmissão; e</w:t>
            </w:r>
          </w:p>
        </w:tc>
        <w:tc>
          <w:tcPr>
            <w:tcW w:w="0" w:type="auto"/>
            <w:gridSpan w:val="2"/>
            <w:vMerge/>
            <w:tcBorders>
              <w:top w:val="nil"/>
              <w:left w:val="single" w:sz="3" w:space="0" w:color="000000"/>
              <w:bottom w:val="nil"/>
              <w:right w:val="nil"/>
            </w:tcBorders>
          </w:tcPr>
          <w:p w14:paraId="21EF0009" w14:textId="77777777" w:rsidR="00541219" w:rsidRDefault="00541219">
            <w:pPr>
              <w:spacing w:after="160"/>
              <w:ind w:left="0" w:firstLine="0"/>
            </w:pPr>
          </w:p>
        </w:tc>
      </w:tr>
      <w:tr w:rsidR="00541219" w14:paraId="774C5FA2"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203C5B53" w14:textId="77777777" w:rsidR="00541219" w:rsidRDefault="00000000">
            <w:pPr>
              <w:spacing w:after="0"/>
              <w:ind w:left="0" w:firstLine="0"/>
            </w:pPr>
            <w:r>
              <w:rPr>
                <w:sz w:val="8"/>
              </w:rPr>
              <w:t xml:space="preserve">     • Aproximadamente 35,7% Categoria Consumo: agentes de distribuição, agentes exportadores e consumidores conectados à rede básica.</w:t>
            </w:r>
          </w:p>
        </w:tc>
        <w:tc>
          <w:tcPr>
            <w:tcW w:w="0" w:type="auto"/>
            <w:gridSpan w:val="2"/>
            <w:vMerge/>
            <w:tcBorders>
              <w:top w:val="nil"/>
              <w:left w:val="single" w:sz="3" w:space="0" w:color="000000"/>
              <w:bottom w:val="single" w:sz="3" w:space="0" w:color="000000"/>
              <w:right w:val="nil"/>
            </w:tcBorders>
          </w:tcPr>
          <w:p w14:paraId="468855B2" w14:textId="77777777" w:rsidR="00541219" w:rsidRDefault="00541219">
            <w:pPr>
              <w:spacing w:after="160"/>
              <w:ind w:left="0" w:firstLine="0"/>
            </w:pPr>
          </w:p>
        </w:tc>
      </w:tr>
      <w:tr w:rsidR="00541219" w14:paraId="4247CA29" w14:textId="77777777">
        <w:trPr>
          <w:trHeight w:val="552"/>
        </w:trPr>
        <w:tc>
          <w:tcPr>
            <w:tcW w:w="5344" w:type="dxa"/>
            <w:tcBorders>
              <w:top w:val="single" w:sz="3" w:space="0" w:color="000000"/>
              <w:left w:val="single" w:sz="3" w:space="0" w:color="000000"/>
              <w:bottom w:val="single" w:sz="3" w:space="0" w:color="000000"/>
              <w:right w:val="single" w:sz="3" w:space="0" w:color="000000"/>
            </w:tcBorders>
            <w:vAlign w:val="center"/>
          </w:tcPr>
          <w:p w14:paraId="47FDBF1D" w14:textId="77777777" w:rsidR="00541219" w:rsidRDefault="00000000">
            <w:pPr>
              <w:spacing w:after="0"/>
              <w:ind w:left="0" w:firstLine="0"/>
            </w:pPr>
            <w:r>
              <w:rPr>
                <w:sz w:val="8"/>
              </w:rPr>
              <w:t>277. Assim, com o rateio de custos sendo basicamente suportado pela TUST, tem-se que praticamente metade dos recursos são repassados às tarifas dos consumidores das distribuidoras (aproximadamente 50% dos 97%). Outra parte dos recursos são pagos por geradores que, em parte, possuem a TUST estabilizada, enquanto as transmissoras não participam desse custeio.</w:t>
            </w:r>
          </w:p>
        </w:tc>
        <w:tc>
          <w:tcPr>
            <w:tcW w:w="1229" w:type="dxa"/>
            <w:tcBorders>
              <w:top w:val="single" w:sz="3" w:space="0" w:color="000000"/>
              <w:left w:val="single" w:sz="3" w:space="0" w:color="000000"/>
              <w:bottom w:val="single" w:sz="3" w:space="0" w:color="000000"/>
              <w:right w:val="single" w:sz="3" w:space="0" w:color="000000"/>
            </w:tcBorders>
            <w:vAlign w:val="center"/>
          </w:tcPr>
          <w:p w14:paraId="6C999FB6"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5C9103B3" w14:textId="1EAC1E5A" w:rsidR="00541219" w:rsidRDefault="00000000" w:rsidP="00F20749">
            <w:pPr>
              <w:spacing w:after="0"/>
              <w:ind w:left="5" w:firstLine="0"/>
              <w:jc w:val="both"/>
            </w:pPr>
            <w:r>
              <w:t xml:space="preserve">Os consumidores cativos (ACR) já são excessivamente onerados por </w:t>
            </w:r>
            <w:r w:rsidR="00B409CF">
              <w:t>subsídios</w:t>
            </w:r>
            <w:r>
              <w:t xml:space="preserve"> às fontes incentivadas de 50% da TUST e TUSD que cuja </w:t>
            </w:r>
            <w:r w:rsidR="00B409CF">
              <w:t>expansão</w:t>
            </w:r>
            <w:r>
              <w:t xml:space="preserve"> tem sido concentrada para o mercado livre (ACL), portanto somos totalmente favoráveis a alteração da forma de cobrança do Orçamento do ONS de forma mais justa e equilibrada.</w:t>
            </w:r>
          </w:p>
        </w:tc>
      </w:tr>
      <w:tr w:rsidR="00541219" w14:paraId="044033F1" w14:textId="77777777">
        <w:trPr>
          <w:trHeight w:val="552"/>
        </w:trPr>
        <w:tc>
          <w:tcPr>
            <w:tcW w:w="5344" w:type="dxa"/>
            <w:tcBorders>
              <w:top w:val="single" w:sz="3" w:space="0" w:color="000000"/>
              <w:left w:val="single" w:sz="3" w:space="0" w:color="000000"/>
              <w:bottom w:val="single" w:sz="3" w:space="0" w:color="000000"/>
              <w:right w:val="single" w:sz="3" w:space="0" w:color="000000"/>
            </w:tcBorders>
            <w:vAlign w:val="center"/>
          </w:tcPr>
          <w:p w14:paraId="57236275" w14:textId="77777777" w:rsidR="00541219" w:rsidRDefault="00000000">
            <w:pPr>
              <w:spacing w:after="0"/>
              <w:ind w:left="0" w:firstLine="0"/>
            </w:pPr>
            <w:r>
              <w:rPr>
                <w:sz w:val="8"/>
              </w:rPr>
              <w:t>278. Em vários momentos já se discutiu a governança orçamentária do Operador, com propostas de se adotar um modelo de custeio para o ONS baseado nas Contribuições Associativas ou de se rediscutir a pertinência do repasse tarifário dos custos.</w:t>
            </w:r>
          </w:p>
        </w:tc>
        <w:tc>
          <w:tcPr>
            <w:tcW w:w="1229" w:type="dxa"/>
            <w:tcBorders>
              <w:top w:val="single" w:sz="3" w:space="0" w:color="000000"/>
              <w:left w:val="single" w:sz="3" w:space="0" w:color="000000"/>
              <w:bottom w:val="single" w:sz="3" w:space="0" w:color="000000"/>
              <w:right w:val="single" w:sz="3" w:space="0" w:color="000000"/>
            </w:tcBorders>
            <w:vAlign w:val="center"/>
          </w:tcPr>
          <w:p w14:paraId="0384FB00"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1F9DCFF9" w14:textId="19B61D70" w:rsidR="00541219" w:rsidRDefault="00000000" w:rsidP="00F20749">
            <w:pPr>
              <w:spacing w:after="0"/>
              <w:ind w:left="5" w:firstLine="0"/>
              <w:jc w:val="both"/>
            </w:pPr>
            <w:r>
              <w:t xml:space="preserve">Os consumidores cativos (ACR) já são excessivamente onerados por </w:t>
            </w:r>
            <w:r w:rsidR="00B409CF">
              <w:t>subsídios</w:t>
            </w:r>
            <w:r>
              <w:t xml:space="preserve"> às fontes incentivadas de 50% da TUST e TUSD que cuja </w:t>
            </w:r>
            <w:r w:rsidR="00B409CF">
              <w:t>expansão</w:t>
            </w:r>
            <w:r>
              <w:t xml:space="preserve"> tem sido concentrada para o mercado livre (ACL), portanto somos totalmente favoráveis a alteração da forma de cobrança do Orçamento do ONS de forma mais justa e equilibrada.</w:t>
            </w:r>
          </w:p>
        </w:tc>
      </w:tr>
      <w:tr w:rsidR="00541219" w14:paraId="0D697E29"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2E1545AC" w14:textId="77777777" w:rsidR="00541219" w:rsidRDefault="00000000">
            <w:pPr>
              <w:spacing w:after="0"/>
              <w:ind w:left="0" w:firstLine="0"/>
            </w:pPr>
            <w:r>
              <w:rPr>
                <w:sz w:val="8"/>
              </w:rPr>
              <w:t>279. Por exemplo, cita-se o voto condutor da REA n° 2459, de 2010, que aprovou o orçamento do ciclo de julho de 2010 a junho de 2011:</w:t>
            </w:r>
          </w:p>
        </w:tc>
        <w:tc>
          <w:tcPr>
            <w:tcW w:w="4920" w:type="dxa"/>
            <w:gridSpan w:val="2"/>
            <w:vMerge w:val="restart"/>
            <w:tcBorders>
              <w:top w:val="single" w:sz="3" w:space="0" w:color="000000"/>
              <w:left w:val="single" w:sz="3" w:space="0" w:color="000000"/>
              <w:bottom w:val="single" w:sz="3" w:space="0" w:color="000000"/>
              <w:right w:val="nil"/>
            </w:tcBorders>
          </w:tcPr>
          <w:p w14:paraId="011E95E7" w14:textId="77777777" w:rsidR="00541219" w:rsidRDefault="00541219">
            <w:pPr>
              <w:spacing w:after="160"/>
              <w:ind w:left="0" w:firstLine="0"/>
            </w:pPr>
          </w:p>
        </w:tc>
      </w:tr>
      <w:tr w:rsidR="00541219" w14:paraId="0760CB8F"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2319AA10" w14:textId="77777777" w:rsidR="00541219" w:rsidRDefault="00000000">
            <w:pPr>
              <w:spacing w:after="0"/>
              <w:ind w:left="497" w:firstLine="0"/>
            </w:pPr>
            <w:r>
              <w:rPr>
                <w:sz w:val="8"/>
              </w:rPr>
              <w:t xml:space="preserve">     29. Não vislumbro óbices à implementação para o ONS de governança orçamentária semelhante à da CCEE, no todo ou em parte. Em tese, todo o custeio operacional e administrativo do ONS poderia ser oriundo de contribuições associativas, sem direito à repasse tarifário. Na prática, em função da especificidade dos custos, ou da necessidade de se implementar uma forma de transição, talvez seja necessário prever em algum mecanismo de repasse tarifário, ainda que parcial.</w:t>
            </w:r>
          </w:p>
        </w:tc>
        <w:tc>
          <w:tcPr>
            <w:tcW w:w="0" w:type="auto"/>
            <w:gridSpan w:val="2"/>
            <w:vMerge/>
            <w:tcBorders>
              <w:top w:val="nil"/>
              <w:left w:val="single" w:sz="3" w:space="0" w:color="000000"/>
              <w:bottom w:val="nil"/>
              <w:right w:val="nil"/>
            </w:tcBorders>
          </w:tcPr>
          <w:p w14:paraId="2A9DEB83" w14:textId="77777777" w:rsidR="00541219" w:rsidRDefault="00541219">
            <w:pPr>
              <w:spacing w:after="160"/>
              <w:ind w:left="0" w:firstLine="0"/>
            </w:pPr>
          </w:p>
        </w:tc>
      </w:tr>
      <w:tr w:rsidR="00541219" w14:paraId="07B53F81"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276DE94E" w14:textId="77777777" w:rsidR="00541219" w:rsidRDefault="00000000">
            <w:pPr>
              <w:spacing w:after="0"/>
              <w:ind w:left="0" w:firstLine="0"/>
            </w:pPr>
            <w:r>
              <w:rPr>
                <w:sz w:val="8"/>
              </w:rPr>
              <w:t>280. Elaborada em atenção à determinação da Diretoria da ANEEL, a NT n° 032/2012-SRG-SRT- SFF-SEM/ANEEL comentou:</w:t>
            </w:r>
          </w:p>
        </w:tc>
        <w:tc>
          <w:tcPr>
            <w:tcW w:w="0" w:type="auto"/>
            <w:gridSpan w:val="2"/>
            <w:vMerge/>
            <w:tcBorders>
              <w:top w:val="nil"/>
              <w:left w:val="single" w:sz="3" w:space="0" w:color="000000"/>
              <w:bottom w:val="nil"/>
              <w:right w:val="nil"/>
            </w:tcBorders>
          </w:tcPr>
          <w:p w14:paraId="3E9C27F2" w14:textId="77777777" w:rsidR="00541219" w:rsidRDefault="00541219">
            <w:pPr>
              <w:spacing w:after="160"/>
              <w:ind w:left="0" w:firstLine="0"/>
            </w:pPr>
          </w:p>
        </w:tc>
      </w:tr>
      <w:tr w:rsidR="00541219" w14:paraId="122D8963"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4F51E5B8" w14:textId="77777777" w:rsidR="00541219" w:rsidRDefault="00000000">
            <w:pPr>
              <w:spacing w:after="0"/>
              <w:ind w:left="497" w:firstLine="0"/>
            </w:pPr>
            <w:r>
              <w:rPr>
                <w:sz w:val="8"/>
              </w:rPr>
              <w:t xml:space="preserve">    A redução da parcela da TUST em decorrência do incremento da contribuição associativa é um importante incentivo para que esses agentes passem a dispensar maiores esforços na busca da eficiência alocativa dos recursos orçamentários do ONS, com </w:t>
            </w:r>
            <w:proofErr w:type="spellStart"/>
            <w:r>
              <w:rPr>
                <w:sz w:val="8"/>
              </w:rPr>
              <w:t>conseqüente</w:t>
            </w:r>
            <w:proofErr w:type="spellEnd"/>
            <w:r>
              <w:rPr>
                <w:sz w:val="8"/>
              </w:rPr>
              <w:t xml:space="preserve"> aumento da eficiência e eficácia na gestão dos recursos destinados ao Operador</w:t>
            </w:r>
          </w:p>
        </w:tc>
        <w:tc>
          <w:tcPr>
            <w:tcW w:w="0" w:type="auto"/>
            <w:gridSpan w:val="2"/>
            <w:vMerge/>
            <w:tcBorders>
              <w:top w:val="nil"/>
              <w:left w:val="single" w:sz="3" w:space="0" w:color="000000"/>
              <w:bottom w:val="nil"/>
              <w:right w:val="nil"/>
            </w:tcBorders>
          </w:tcPr>
          <w:p w14:paraId="13E6A3FB" w14:textId="77777777" w:rsidR="00541219" w:rsidRDefault="00541219">
            <w:pPr>
              <w:spacing w:after="160"/>
              <w:ind w:left="0" w:firstLine="0"/>
            </w:pPr>
          </w:p>
        </w:tc>
      </w:tr>
      <w:tr w:rsidR="00541219" w14:paraId="4B331E90"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77FC4D17" w14:textId="77777777" w:rsidR="00541219" w:rsidRDefault="00000000">
            <w:pPr>
              <w:spacing w:after="0"/>
              <w:ind w:left="0" w:firstLine="0"/>
              <w:jc w:val="both"/>
            </w:pPr>
            <w:r>
              <w:rPr>
                <w:sz w:val="8"/>
              </w:rPr>
              <w:t>281. Em outro momento, quando da aprovação do orçamento do ONS para o ciclo de janeiro a dezembro de 2016 (REA 5598, de 2015), o voto do Diretor Relator apontou:</w:t>
            </w:r>
          </w:p>
        </w:tc>
        <w:tc>
          <w:tcPr>
            <w:tcW w:w="0" w:type="auto"/>
            <w:gridSpan w:val="2"/>
            <w:vMerge/>
            <w:tcBorders>
              <w:top w:val="nil"/>
              <w:left w:val="single" w:sz="3" w:space="0" w:color="000000"/>
              <w:bottom w:val="nil"/>
              <w:right w:val="nil"/>
            </w:tcBorders>
          </w:tcPr>
          <w:p w14:paraId="2526590D" w14:textId="77777777" w:rsidR="00541219" w:rsidRDefault="00541219">
            <w:pPr>
              <w:spacing w:after="160"/>
              <w:ind w:left="0" w:firstLine="0"/>
            </w:pPr>
          </w:p>
        </w:tc>
      </w:tr>
      <w:tr w:rsidR="00541219" w14:paraId="2628DB4E"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03286829" w14:textId="77777777" w:rsidR="00541219" w:rsidRDefault="00000000">
            <w:pPr>
              <w:spacing w:after="0"/>
              <w:ind w:left="497" w:right="2" w:firstLine="0"/>
            </w:pPr>
            <w:r>
              <w:rPr>
                <w:sz w:val="8"/>
              </w:rPr>
              <w:t xml:space="preserve">     28. Não há como discordar quanto à edição de resolução normativa, conforme sugerido na Nota Técnica 32/2012-SRG-SRT-SFFSEM/ANEEL, fato que contribuirá para mitigar as dificuldades verificadas a cada aprovação da proposta orçamentária. Contudo, entendo que o mero restabelecimento do percentual original da participação da contribuição associativa é </w:t>
            </w:r>
            <w:proofErr w:type="gramStart"/>
            <w:r>
              <w:rPr>
                <w:sz w:val="8"/>
              </w:rPr>
              <w:t>medida</w:t>
            </w:r>
            <w:proofErr w:type="gramEnd"/>
            <w:r>
              <w:rPr>
                <w:sz w:val="8"/>
              </w:rPr>
              <w:t xml:space="preserve"> paliativa, que não afasta a questão central – o uso expressivo de recursos do consumidor de energia elétrica, via tarifa.</w:t>
            </w:r>
          </w:p>
        </w:tc>
        <w:tc>
          <w:tcPr>
            <w:tcW w:w="0" w:type="auto"/>
            <w:gridSpan w:val="2"/>
            <w:vMerge/>
            <w:tcBorders>
              <w:top w:val="nil"/>
              <w:left w:val="single" w:sz="3" w:space="0" w:color="000000"/>
              <w:bottom w:val="single" w:sz="3" w:space="0" w:color="000000"/>
              <w:right w:val="nil"/>
            </w:tcBorders>
          </w:tcPr>
          <w:p w14:paraId="4030AB4F" w14:textId="77777777" w:rsidR="00541219" w:rsidRDefault="00541219">
            <w:pPr>
              <w:spacing w:after="160"/>
              <w:ind w:left="0" w:firstLine="0"/>
            </w:pPr>
          </w:p>
        </w:tc>
      </w:tr>
      <w:tr w:rsidR="00541219" w14:paraId="5E8E878B" w14:textId="77777777">
        <w:trPr>
          <w:trHeight w:val="552"/>
        </w:trPr>
        <w:tc>
          <w:tcPr>
            <w:tcW w:w="5344" w:type="dxa"/>
            <w:tcBorders>
              <w:top w:val="single" w:sz="3" w:space="0" w:color="000000"/>
              <w:left w:val="single" w:sz="3" w:space="0" w:color="000000"/>
              <w:bottom w:val="single" w:sz="3" w:space="0" w:color="000000"/>
              <w:right w:val="single" w:sz="3" w:space="0" w:color="000000"/>
            </w:tcBorders>
            <w:vAlign w:val="center"/>
          </w:tcPr>
          <w:p w14:paraId="08721582" w14:textId="77777777" w:rsidR="00541219" w:rsidRDefault="00000000">
            <w:pPr>
              <w:spacing w:after="0"/>
              <w:ind w:left="497" w:firstLine="0"/>
            </w:pPr>
            <w:r>
              <w:rPr>
                <w:sz w:val="8"/>
              </w:rPr>
              <w:t xml:space="preserve">     29. Nesse sentido, proponho que o citado normativo, de forma gradativa (ciclos 2016 e 2017), fixe que o orçamento do ONS passe a ser 100% custeado via contribuição associativa.</w:t>
            </w:r>
          </w:p>
        </w:tc>
        <w:tc>
          <w:tcPr>
            <w:tcW w:w="1229" w:type="dxa"/>
            <w:tcBorders>
              <w:top w:val="single" w:sz="3" w:space="0" w:color="000000"/>
              <w:left w:val="single" w:sz="3" w:space="0" w:color="000000"/>
              <w:bottom w:val="single" w:sz="3" w:space="0" w:color="000000"/>
              <w:right w:val="single" w:sz="3" w:space="0" w:color="000000"/>
            </w:tcBorders>
            <w:vAlign w:val="center"/>
          </w:tcPr>
          <w:p w14:paraId="1BAFCB5C"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42194590" w14:textId="102ED62C" w:rsidR="00541219" w:rsidRDefault="00000000" w:rsidP="00F20749">
            <w:pPr>
              <w:spacing w:after="0"/>
              <w:ind w:left="5" w:firstLine="0"/>
              <w:jc w:val="both"/>
            </w:pPr>
            <w:r>
              <w:t xml:space="preserve">Os consumidores cativos (ACR) já são excessivamente onerados por </w:t>
            </w:r>
            <w:r w:rsidR="004F4488">
              <w:t>subsídios</w:t>
            </w:r>
            <w:r>
              <w:t xml:space="preserve"> às fontes incentivadas de 50% da TUST e TUSD que cuja </w:t>
            </w:r>
            <w:r w:rsidR="004F4488">
              <w:t>expansão</w:t>
            </w:r>
            <w:r>
              <w:t xml:space="preserve"> tem sido concentrada para o mercado livre (ACL), portanto somos totalmente favoráveis a alteração da forma de cobrança do Orçamento do ONS de forma mais justa e equilibrada.</w:t>
            </w:r>
          </w:p>
        </w:tc>
      </w:tr>
      <w:tr w:rsidR="00541219" w14:paraId="2E9107DE" w14:textId="77777777">
        <w:trPr>
          <w:trHeight w:val="658"/>
        </w:trPr>
        <w:tc>
          <w:tcPr>
            <w:tcW w:w="5344" w:type="dxa"/>
            <w:tcBorders>
              <w:top w:val="single" w:sz="3" w:space="0" w:color="000000"/>
              <w:left w:val="single" w:sz="3" w:space="0" w:color="000000"/>
              <w:bottom w:val="single" w:sz="3" w:space="0" w:color="000000"/>
              <w:right w:val="single" w:sz="3" w:space="0" w:color="000000"/>
            </w:tcBorders>
          </w:tcPr>
          <w:p w14:paraId="1CF2BE5C" w14:textId="77777777" w:rsidR="00541219" w:rsidRDefault="00000000">
            <w:pPr>
              <w:spacing w:after="5" w:line="252" w:lineRule="auto"/>
              <w:ind w:left="0" w:firstLine="0"/>
            </w:pPr>
            <w:r>
              <w:rPr>
                <w:sz w:val="8"/>
              </w:rPr>
              <w:t xml:space="preserve">282. Buscou-se resolver definitivamente a questão nas análises que culminaram com a REN n° 780, de 2017, que estabeleceu critérios para o ONS desempenhar as atividades de gestão orçamentária. Por exemplo, a Nota Técnica no 152/2015-SRG-SRT-SFF/ANEEL, que realizou a análise da 1a fase da </w:t>
            </w:r>
          </w:p>
          <w:p w14:paraId="277D8140" w14:textId="77777777" w:rsidR="00541219" w:rsidRDefault="00000000">
            <w:pPr>
              <w:spacing w:after="0"/>
              <w:ind w:left="0" w:firstLine="0"/>
            </w:pPr>
            <w:r>
              <w:rPr>
                <w:sz w:val="8"/>
              </w:rPr>
              <w:t>AP no 16/2013 e abertura da 2a fase da AP 16/2013, propôs que 100% do orçamento do ONS seria custeado por meio de C.A. a partir de 2018. Já a Nota Técnica n° 124/16-SRG-SRT-SRM-SFG-SFE-SFF/ANEEL (análise 2a fase AP 16/2013) propôs a ampliação gradual da parcela de recursos provenientes diretamente dos agentes via contribuições associativas, sem repasse tarifário, em detrimento de uma redução da parcela do orçamento coberto pela TUST, de maneira a aumentar o interesse e a participação dos associados nas políticas de gastos operacionais do ONS.</w:t>
            </w:r>
          </w:p>
        </w:tc>
        <w:tc>
          <w:tcPr>
            <w:tcW w:w="4920" w:type="dxa"/>
            <w:gridSpan w:val="2"/>
            <w:vMerge w:val="restart"/>
            <w:tcBorders>
              <w:top w:val="single" w:sz="3" w:space="0" w:color="000000"/>
              <w:left w:val="single" w:sz="3" w:space="0" w:color="000000"/>
              <w:bottom w:val="nil"/>
              <w:right w:val="nil"/>
            </w:tcBorders>
          </w:tcPr>
          <w:p w14:paraId="14D44613" w14:textId="77777777" w:rsidR="00541219" w:rsidRDefault="00541219">
            <w:pPr>
              <w:spacing w:after="160"/>
              <w:ind w:left="0" w:firstLine="0"/>
            </w:pPr>
          </w:p>
        </w:tc>
      </w:tr>
      <w:tr w:rsidR="00541219" w14:paraId="3E394BFE"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0CE795A3" w14:textId="77777777" w:rsidR="00541219" w:rsidRDefault="00000000">
            <w:pPr>
              <w:spacing w:after="0"/>
              <w:ind w:left="0" w:firstLine="0"/>
            </w:pPr>
            <w:r>
              <w:rPr>
                <w:sz w:val="8"/>
              </w:rPr>
              <w:t>283. Contudo, decidiu-se que alterar a composição do custeio do operador, assim como a pertinência do repasse desses custos à tarifa, deveria ser estudada de maneira mais aprofundada. Conforme consta do voto do Diretor Relator da REN n°780/2017, que avaliou o resultado da 3a fase da AP 16/2013:</w:t>
            </w:r>
          </w:p>
        </w:tc>
        <w:tc>
          <w:tcPr>
            <w:tcW w:w="0" w:type="auto"/>
            <w:gridSpan w:val="2"/>
            <w:vMerge/>
            <w:tcBorders>
              <w:top w:val="nil"/>
              <w:left w:val="single" w:sz="3" w:space="0" w:color="000000"/>
              <w:bottom w:val="nil"/>
              <w:right w:val="nil"/>
            </w:tcBorders>
          </w:tcPr>
          <w:p w14:paraId="2B64345B" w14:textId="77777777" w:rsidR="00541219" w:rsidRDefault="00541219">
            <w:pPr>
              <w:spacing w:after="160"/>
              <w:ind w:left="0" w:firstLine="0"/>
            </w:pPr>
          </w:p>
        </w:tc>
      </w:tr>
      <w:tr w:rsidR="00541219" w14:paraId="6E666785"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37252D4F" w14:textId="77777777" w:rsidR="00541219" w:rsidRDefault="00000000">
            <w:pPr>
              <w:spacing w:after="0"/>
              <w:ind w:left="497" w:firstLine="0"/>
            </w:pPr>
            <w:r>
              <w:rPr>
                <w:sz w:val="8"/>
              </w:rPr>
              <w:t xml:space="preserve">     18. As propostas anteriores sempre advogaram que a majoração da parcela de contribuição associativa dentre as fontes de recursos do operador proporcionaria mais participação dos associados, haja vista que assim se fomentariam discussões orçamentárias mais profundas e de longo prazo, com reflexos na diminuição dos custos do Operador. A despeito de ser objetivo desejável, modificar o percentual arcado pelos associados e pelas tarifas mostrou-se desafio que requer mais tempo, recursos e aprofundamento (...)</w:t>
            </w:r>
          </w:p>
        </w:tc>
        <w:tc>
          <w:tcPr>
            <w:tcW w:w="0" w:type="auto"/>
            <w:gridSpan w:val="2"/>
            <w:vMerge/>
            <w:tcBorders>
              <w:top w:val="nil"/>
              <w:left w:val="single" w:sz="3" w:space="0" w:color="000000"/>
              <w:bottom w:val="nil"/>
              <w:right w:val="nil"/>
            </w:tcBorders>
          </w:tcPr>
          <w:p w14:paraId="284807F7" w14:textId="77777777" w:rsidR="00541219" w:rsidRDefault="00541219">
            <w:pPr>
              <w:spacing w:after="160"/>
              <w:ind w:left="0" w:firstLine="0"/>
            </w:pPr>
          </w:p>
        </w:tc>
      </w:tr>
    </w:tbl>
    <w:p w14:paraId="699E3C85" w14:textId="77777777" w:rsidR="00541219" w:rsidRDefault="00541219">
      <w:pPr>
        <w:spacing w:after="0"/>
        <w:ind w:left="-1440" w:right="8609" w:firstLine="0"/>
      </w:pPr>
    </w:p>
    <w:tbl>
      <w:tblPr>
        <w:tblStyle w:val="TableGrid"/>
        <w:tblW w:w="10264" w:type="dxa"/>
        <w:tblInd w:w="-688" w:type="dxa"/>
        <w:tblCellMar>
          <w:top w:w="0" w:type="dxa"/>
          <w:left w:w="19" w:type="dxa"/>
          <w:bottom w:w="0" w:type="dxa"/>
          <w:right w:w="22" w:type="dxa"/>
        </w:tblCellMar>
        <w:tblLook w:val="04A0" w:firstRow="1" w:lastRow="0" w:firstColumn="1" w:lastColumn="0" w:noHBand="0" w:noVBand="1"/>
      </w:tblPr>
      <w:tblGrid>
        <w:gridCol w:w="5344"/>
        <w:gridCol w:w="1229"/>
        <w:gridCol w:w="3691"/>
      </w:tblGrid>
      <w:tr w:rsidR="00541219" w14:paraId="5A08F39D" w14:textId="77777777">
        <w:trPr>
          <w:trHeight w:val="150"/>
        </w:trPr>
        <w:tc>
          <w:tcPr>
            <w:tcW w:w="10264" w:type="dxa"/>
            <w:gridSpan w:val="3"/>
            <w:tcBorders>
              <w:top w:val="single" w:sz="6" w:space="0" w:color="000000"/>
              <w:left w:val="single" w:sz="6" w:space="0" w:color="000000"/>
              <w:bottom w:val="single" w:sz="3" w:space="0" w:color="000000"/>
              <w:right w:val="single" w:sz="6" w:space="0" w:color="000000"/>
            </w:tcBorders>
          </w:tcPr>
          <w:p w14:paraId="7684A709" w14:textId="77777777" w:rsidR="00541219" w:rsidRDefault="00000000">
            <w:pPr>
              <w:spacing w:after="0"/>
              <w:ind w:left="18" w:firstLine="0"/>
              <w:jc w:val="center"/>
            </w:pPr>
            <w:r>
              <w:rPr>
                <w:color w:val="0000FF"/>
                <w:sz w:val="12"/>
              </w:rPr>
              <w:t>CONTRIBUIÇÃO REFERENTE À CONSULTA PÚBLICA Nº 27/2024</w:t>
            </w:r>
          </w:p>
        </w:tc>
      </w:tr>
      <w:tr w:rsidR="00541219" w14:paraId="76A01338" w14:textId="77777777">
        <w:trPr>
          <w:trHeight w:val="149"/>
        </w:trPr>
        <w:tc>
          <w:tcPr>
            <w:tcW w:w="10264" w:type="dxa"/>
            <w:gridSpan w:val="3"/>
            <w:tcBorders>
              <w:top w:val="single" w:sz="3" w:space="0" w:color="000000"/>
              <w:left w:val="single" w:sz="6" w:space="0" w:color="000000"/>
              <w:bottom w:val="single" w:sz="3" w:space="0" w:color="000000"/>
              <w:right w:val="single" w:sz="6" w:space="0" w:color="000000"/>
            </w:tcBorders>
          </w:tcPr>
          <w:p w14:paraId="2476A4E1" w14:textId="77777777" w:rsidR="00541219" w:rsidRDefault="00000000">
            <w:pPr>
              <w:spacing w:after="0"/>
              <w:ind w:left="6" w:firstLine="0"/>
              <w:jc w:val="center"/>
            </w:pPr>
            <w:r>
              <w:rPr>
                <w:color w:val="0000FF"/>
                <w:sz w:val="12"/>
              </w:rPr>
              <w:t>NOME DA INSTITUIÇÃO: CONCEN Conselho de Consumidores da Energisa Mato Grosso do Sul</w:t>
            </w:r>
          </w:p>
        </w:tc>
      </w:tr>
      <w:tr w:rsidR="00541219" w14:paraId="1958FAF1" w14:textId="77777777">
        <w:trPr>
          <w:trHeight w:val="149"/>
        </w:trPr>
        <w:tc>
          <w:tcPr>
            <w:tcW w:w="10264" w:type="dxa"/>
            <w:gridSpan w:val="3"/>
            <w:tcBorders>
              <w:top w:val="single" w:sz="3" w:space="0" w:color="000000"/>
              <w:left w:val="single" w:sz="6" w:space="0" w:color="000000"/>
              <w:bottom w:val="single" w:sz="3" w:space="0" w:color="000000"/>
              <w:right w:val="single" w:sz="6" w:space="0" w:color="000000"/>
            </w:tcBorders>
          </w:tcPr>
          <w:p w14:paraId="760E301F" w14:textId="77777777" w:rsidR="00541219" w:rsidRDefault="00000000">
            <w:pPr>
              <w:tabs>
                <w:tab w:val="center" w:pos="626"/>
                <w:tab w:val="center" w:pos="5122"/>
              </w:tabs>
              <w:spacing w:after="0"/>
              <w:ind w:left="0" w:firstLine="0"/>
            </w:pPr>
            <w:r>
              <w:rPr>
                <w:rFonts w:ascii="Calibri" w:eastAsia="Calibri" w:hAnsi="Calibri" w:cs="Calibri"/>
                <w:sz w:val="22"/>
              </w:rPr>
              <w:tab/>
            </w:r>
            <w:r>
              <w:rPr>
                <w:noProof/>
              </w:rPr>
              <w:drawing>
                <wp:inline distT="0" distB="0" distL="0" distR="0" wp14:anchorId="63F01276" wp14:editId="0C011D0D">
                  <wp:extent cx="585216" cy="362712"/>
                  <wp:effectExtent l="0" t="0" r="0" b="0"/>
                  <wp:docPr id="4332" name="Picture 4332"/>
                  <wp:cNvGraphicFramePr/>
                  <a:graphic xmlns:a="http://schemas.openxmlformats.org/drawingml/2006/main">
                    <a:graphicData uri="http://schemas.openxmlformats.org/drawingml/2006/picture">
                      <pic:pic xmlns:pic="http://schemas.openxmlformats.org/drawingml/2006/picture">
                        <pic:nvPicPr>
                          <pic:cNvPr id="4332" name="Picture 4332"/>
                          <pic:cNvPicPr/>
                        </pic:nvPicPr>
                        <pic:blipFill>
                          <a:blip r:embed="rId5"/>
                          <a:stretch>
                            <a:fillRect/>
                          </a:stretch>
                        </pic:blipFill>
                        <pic:spPr>
                          <a:xfrm>
                            <a:off x="0" y="0"/>
                            <a:ext cx="585216" cy="362712"/>
                          </a:xfrm>
                          <a:prstGeom prst="rect">
                            <a:avLst/>
                          </a:prstGeom>
                        </pic:spPr>
                      </pic:pic>
                    </a:graphicData>
                  </a:graphic>
                </wp:inline>
              </w:drawing>
            </w:r>
            <w:r>
              <w:rPr>
                <w:color w:val="0000FF"/>
                <w:sz w:val="12"/>
              </w:rPr>
              <w:tab/>
              <w:t>AGÊNCIA NACIONAL DE ENERGIA ELÉTRICA – ANEEL</w:t>
            </w:r>
          </w:p>
        </w:tc>
      </w:tr>
      <w:tr w:rsidR="00541219" w14:paraId="5B0CB4E2" w14:textId="77777777">
        <w:trPr>
          <w:trHeight w:val="178"/>
        </w:trPr>
        <w:tc>
          <w:tcPr>
            <w:tcW w:w="10264" w:type="dxa"/>
            <w:gridSpan w:val="3"/>
            <w:tcBorders>
              <w:top w:val="single" w:sz="3" w:space="0" w:color="000000"/>
              <w:left w:val="single" w:sz="6" w:space="0" w:color="000000"/>
              <w:bottom w:val="single" w:sz="3" w:space="0" w:color="000000"/>
              <w:right w:val="single" w:sz="6" w:space="0" w:color="000000"/>
            </w:tcBorders>
          </w:tcPr>
          <w:p w14:paraId="059FB5C3" w14:textId="77777777" w:rsidR="00541219" w:rsidRDefault="00000000">
            <w:pPr>
              <w:spacing w:after="0"/>
              <w:ind w:left="16" w:firstLine="0"/>
              <w:jc w:val="center"/>
            </w:pPr>
            <w:r>
              <w:rPr>
                <w:color w:val="0000FF"/>
              </w:rPr>
              <w:t>NOTA TÉCNICA nº 1.056/2024-SCE-SFF-SFT-SMA-STE-STD-STR/ANEEL de 09 de outubro de 2024.</w:t>
            </w:r>
          </w:p>
        </w:tc>
      </w:tr>
      <w:tr w:rsidR="00541219" w14:paraId="14F4356E" w14:textId="77777777">
        <w:trPr>
          <w:trHeight w:val="194"/>
        </w:trPr>
        <w:tc>
          <w:tcPr>
            <w:tcW w:w="10264" w:type="dxa"/>
            <w:gridSpan w:val="3"/>
            <w:tcBorders>
              <w:top w:val="single" w:sz="3" w:space="0" w:color="000000"/>
              <w:left w:val="single" w:sz="6" w:space="0" w:color="000000"/>
              <w:bottom w:val="single" w:sz="3" w:space="0" w:color="000000"/>
              <w:right w:val="single" w:sz="6" w:space="0" w:color="000000"/>
            </w:tcBorders>
          </w:tcPr>
          <w:p w14:paraId="1184210A" w14:textId="77777777" w:rsidR="00541219" w:rsidRDefault="00000000">
            <w:pPr>
              <w:spacing w:after="0"/>
              <w:ind w:left="4" w:firstLine="0"/>
              <w:jc w:val="center"/>
            </w:pPr>
            <w:r>
              <w:rPr>
                <w:color w:val="0000FF"/>
              </w:rPr>
              <w:t xml:space="preserve">                                                               EMENTA: Obter subsídios para o aprimoramento da minuta de termo aditivo ao contrato de concessão de distribuição de energia elétrica com vistas à prorrogação das concessões.</w:t>
            </w:r>
          </w:p>
        </w:tc>
      </w:tr>
      <w:tr w:rsidR="00541219" w14:paraId="177E5D19" w14:textId="77777777">
        <w:trPr>
          <w:trHeight w:val="132"/>
        </w:trPr>
        <w:tc>
          <w:tcPr>
            <w:tcW w:w="10264" w:type="dxa"/>
            <w:gridSpan w:val="3"/>
            <w:tcBorders>
              <w:top w:val="single" w:sz="3" w:space="0" w:color="000000"/>
              <w:left w:val="single" w:sz="6" w:space="0" w:color="000000"/>
              <w:bottom w:val="single" w:sz="3" w:space="0" w:color="000000"/>
              <w:right w:val="single" w:sz="6" w:space="0" w:color="000000"/>
            </w:tcBorders>
          </w:tcPr>
          <w:p w14:paraId="77B28AA9" w14:textId="77777777" w:rsidR="00541219" w:rsidRDefault="00000000">
            <w:pPr>
              <w:spacing w:after="0"/>
              <w:ind w:left="4" w:firstLine="0"/>
              <w:jc w:val="center"/>
            </w:pPr>
            <w:r>
              <w:rPr>
                <w:color w:val="0000FF"/>
                <w:sz w:val="11"/>
              </w:rPr>
              <w:t>CONTRIBUIÇÕES RECEBIDAS</w:t>
            </w:r>
          </w:p>
        </w:tc>
      </w:tr>
      <w:tr w:rsidR="00541219" w14:paraId="032694C3" w14:textId="77777777">
        <w:trPr>
          <w:trHeight w:val="275"/>
        </w:trPr>
        <w:tc>
          <w:tcPr>
            <w:tcW w:w="10264" w:type="dxa"/>
            <w:gridSpan w:val="3"/>
            <w:tcBorders>
              <w:top w:val="single" w:sz="3" w:space="0" w:color="000000"/>
              <w:left w:val="single" w:sz="6" w:space="0" w:color="000000"/>
              <w:bottom w:val="single" w:sz="6" w:space="0" w:color="000000"/>
              <w:right w:val="single" w:sz="6" w:space="0" w:color="000000"/>
            </w:tcBorders>
          </w:tcPr>
          <w:p w14:paraId="65C64A8B" w14:textId="77777777" w:rsidR="00541219" w:rsidRDefault="00000000">
            <w:pPr>
              <w:spacing w:after="0"/>
              <w:ind w:left="0" w:firstLine="0"/>
            </w:pPr>
            <w:r>
              <w:t>IMPORTANTE: Os comentários e sugestões referentes às contribuições deverão ser fundamentados e justificados, mencionando-se os artigos, parágrafos e incisos a que se referem, devendo ser acompanhados de textos alternativos e substitutivos quando envolverem sugestões de inclusão ou alteração, parcial ou total, de qualquer dispositivo.</w:t>
            </w:r>
          </w:p>
        </w:tc>
      </w:tr>
      <w:tr w:rsidR="00541219" w14:paraId="0729B9DA" w14:textId="77777777">
        <w:trPr>
          <w:trHeight w:val="213"/>
        </w:trPr>
        <w:tc>
          <w:tcPr>
            <w:tcW w:w="5344" w:type="dxa"/>
            <w:tcBorders>
              <w:top w:val="single" w:sz="6" w:space="0" w:color="000000"/>
              <w:left w:val="single" w:sz="6" w:space="0" w:color="000000"/>
              <w:bottom w:val="double" w:sz="4" w:space="0" w:color="000000"/>
              <w:right w:val="single" w:sz="6" w:space="0" w:color="000000"/>
            </w:tcBorders>
            <w:shd w:val="clear" w:color="auto" w:fill="FF0000"/>
          </w:tcPr>
          <w:p w14:paraId="7A259D48" w14:textId="77777777" w:rsidR="00541219" w:rsidRDefault="00000000">
            <w:pPr>
              <w:spacing w:after="0"/>
              <w:ind w:left="5" w:firstLine="0"/>
              <w:jc w:val="center"/>
            </w:pPr>
            <w:r>
              <w:rPr>
                <w:color w:val="FFFFFF"/>
                <w:sz w:val="11"/>
              </w:rPr>
              <w:t xml:space="preserve">TEXTO/ANEEL </w:t>
            </w:r>
          </w:p>
        </w:tc>
        <w:tc>
          <w:tcPr>
            <w:tcW w:w="1229" w:type="dxa"/>
            <w:tcBorders>
              <w:top w:val="single" w:sz="6" w:space="0" w:color="000000"/>
              <w:left w:val="single" w:sz="6" w:space="0" w:color="000000"/>
              <w:bottom w:val="single" w:sz="6" w:space="0" w:color="000000"/>
              <w:right w:val="single" w:sz="6" w:space="0" w:color="000000"/>
            </w:tcBorders>
            <w:shd w:val="clear" w:color="auto" w:fill="FF0000"/>
          </w:tcPr>
          <w:p w14:paraId="100FC5F4" w14:textId="77777777" w:rsidR="00541219" w:rsidRDefault="00000000">
            <w:pPr>
              <w:spacing w:after="0"/>
              <w:ind w:left="70" w:firstLine="0"/>
            </w:pPr>
            <w:r>
              <w:rPr>
                <w:color w:val="FFFFFF"/>
                <w:sz w:val="11"/>
              </w:rPr>
              <w:t>TEXTO/INSTITUIÇÃO</w:t>
            </w:r>
          </w:p>
        </w:tc>
        <w:tc>
          <w:tcPr>
            <w:tcW w:w="3691" w:type="dxa"/>
            <w:tcBorders>
              <w:top w:val="single" w:sz="6" w:space="0" w:color="000000"/>
              <w:left w:val="single" w:sz="6" w:space="0" w:color="000000"/>
              <w:bottom w:val="single" w:sz="6" w:space="0" w:color="000000"/>
              <w:right w:val="single" w:sz="6" w:space="0" w:color="000000"/>
            </w:tcBorders>
            <w:shd w:val="clear" w:color="auto" w:fill="FF0000"/>
          </w:tcPr>
          <w:p w14:paraId="4829D052" w14:textId="77777777" w:rsidR="00541219" w:rsidRDefault="00000000">
            <w:pPr>
              <w:spacing w:after="0"/>
              <w:ind w:left="23" w:firstLine="0"/>
              <w:jc w:val="center"/>
            </w:pPr>
            <w:r>
              <w:rPr>
                <w:color w:val="FFFFFF"/>
                <w:sz w:val="11"/>
              </w:rPr>
              <w:t>JUSTIFICATIVA/INSTITUIÇÃO</w:t>
            </w:r>
          </w:p>
        </w:tc>
      </w:tr>
      <w:tr w:rsidR="00541219" w14:paraId="39C48693" w14:textId="77777777">
        <w:trPr>
          <w:trHeight w:val="388"/>
        </w:trPr>
        <w:tc>
          <w:tcPr>
            <w:tcW w:w="5344" w:type="dxa"/>
            <w:tcBorders>
              <w:top w:val="double" w:sz="4" w:space="0" w:color="000000"/>
              <w:left w:val="single" w:sz="3" w:space="0" w:color="000000"/>
              <w:bottom w:val="single" w:sz="3" w:space="0" w:color="000000"/>
              <w:right w:val="single" w:sz="3" w:space="0" w:color="000000"/>
            </w:tcBorders>
          </w:tcPr>
          <w:p w14:paraId="66CB8E6D" w14:textId="77777777" w:rsidR="00541219" w:rsidRDefault="00000000">
            <w:pPr>
              <w:spacing w:after="0"/>
              <w:ind w:left="497" w:firstLine="0"/>
            </w:pPr>
            <w:r>
              <w:rPr>
                <w:sz w:val="8"/>
              </w:rPr>
              <w:t xml:space="preserve">     19. Diante disso, propõe-se que o montante de recursos provenientes das C.A. considerado no ciclo orçamentário 1999/2000 seja atualizado pelo IPCA para inclusão na proposta orçamentária de 2019. A partir do exercício de 2019, o montante de recursos advindo das contribuições associativas deverá ser anualmente atualizado. Ademais, os recursos oriundos das contribuições associativas devem ser anualmente revertidos à modicidade tarifária quando do cálculo dos encargos da TUST.</w:t>
            </w:r>
          </w:p>
        </w:tc>
        <w:tc>
          <w:tcPr>
            <w:tcW w:w="4920" w:type="dxa"/>
            <w:gridSpan w:val="2"/>
            <w:vMerge w:val="restart"/>
            <w:tcBorders>
              <w:top w:val="single" w:sz="6" w:space="0" w:color="000000"/>
              <w:left w:val="single" w:sz="3" w:space="0" w:color="000000"/>
              <w:bottom w:val="single" w:sz="3" w:space="0" w:color="000000"/>
              <w:right w:val="nil"/>
            </w:tcBorders>
          </w:tcPr>
          <w:p w14:paraId="2A23C836" w14:textId="77777777" w:rsidR="00541219" w:rsidRDefault="00541219">
            <w:pPr>
              <w:spacing w:after="160"/>
              <w:ind w:left="0" w:firstLine="0"/>
            </w:pPr>
          </w:p>
        </w:tc>
      </w:tr>
      <w:tr w:rsidR="00541219" w14:paraId="76EC15E5" w14:textId="77777777">
        <w:trPr>
          <w:trHeight w:val="470"/>
        </w:trPr>
        <w:tc>
          <w:tcPr>
            <w:tcW w:w="5344" w:type="dxa"/>
            <w:tcBorders>
              <w:top w:val="single" w:sz="3" w:space="0" w:color="000000"/>
              <w:left w:val="single" w:sz="3" w:space="0" w:color="000000"/>
              <w:bottom w:val="single" w:sz="3" w:space="0" w:color="000000"/>
              <w:right w:val="single" w:sz="3" w:space="0" w:color="000000"/>
            </w:tcBorders>
          </w:tcPr>
          <w:p w14:paraId="436B8FC4" w14:textId="77777777" w:rsidR="00541219" w:rsidRDefault="00000000">
            <w:pPr>
              <w:spacing w:after="0"/>
              <w:ind w:left="497" w:firstLine="0"/>
            </w:pPr>
            <w:r>
              <w:rPr>
                <w:sz w:val="8"/>
              </w:rPr>
              <w:t xml:space="preserve">     20. Também foi sugerido pelas </w:t>
            </w:r>
            <w:proofErr w:type="spellStart"/>
            <w:r>
              <w:rPr>
                <w:sz w:val="8"/>
              </w:rPr>
              <w:t>uorgs</w:t>
            </w:r>
            <w:proofErr w:type="spellEnd"/>
            <w:r>
              <w:rPr>
                <w:sz w:val="8"/>
              </w:rPr>
              <w:t xml:space="preserve"> que a Diretoria deliberasse, com base nessa proposta e, caso entendesse como necessário majorar a participação da contribuição associativa dentre as fontes de recurso do ONS, instaurasse processo, para estudar, de maneira mais aprofundada, </w:t>
            </w:r>
          </w:p>
          <w:p w14:paraId="10772E4B" w14:textId="77777777" w:rsidR="00541219" w:rsidRDefault="00000000">
            <w:pPr>
              <w:numPr>
                <w:ilvl w:val="0"/>
                <w:numId w:val="3"/>
              </w:numPr>
              <w:spacing w:after="0"/>
              <w:ind w:hanging="91"/>
            </w:pPr>
            <w:r>
              <w:rPr>
                <w:sz w:val="8"/>
              </w:rPr>
              <w:t xml:space="preserve">a atualização do software Nodal, com recurso compatível com a segregação de custos por agentes, e </w:t>
            </w:r>
          </w:p>
          <w:p w14:paraId="4737AFCA" w14:textId="77777777" w:rsidR="00541219" w:rsidRDefault="00000000">
            <w:pPr>
              <w:numPr>
                <w:ilvl w:val="0"/>
                <w:numId w:val="3"/>
              </w:numPr>
              <w:spacing w:after="0"/>
              <w:ind w:hanging="91"/>
            </w:pPr>
            <w:r>
              <w:rPr>
                <w:sz w:val="8"/>
              </w:rPr>
              <w:t>a alteração metodológica de cálculo da TUST relativa aos custos do ONS.</w:t>
            </w:r>
          </w:p>
        </w:tc>
        <w:tc>
          <w:tcPr>
            <w:tcW w:w="0" w:type="auto"/>
            <w:gridSpan w:val="2"/>
            <w:vMerge/>
            <w:tcBorders>
              <w:top w:val="nil"/>
              <w:left w:val="single" w:sz="3" w:space="0" w:color="000000"/>
              <w:bottom w:val="single" w:sz="3" w:space="0" w:color="000000"/>
              <w:right w:val="nil"/>
            </w:tcBorders>
          </w:tcPr>
          <w:p w14:paraId="3E5FA93B" w14:textId="77777777" w:rsidR="00541219" w:rsidRDefault="00541219">
            <w:pPr>
              <w:spacing w:after="160"/>
              <w:ind w:left="0" w:firstLine="0"/>
            </w:pPr>
          </w:p>
        </w:tc>
      </w:tr>
      <w:tr w:rsidR="00541219" w14:paraId="7CEADCE3" w14:textId="77777777">
        <w:trPr>
          <w:trHeight w:val="552"/>
        </w:trPr>
        <w:tc>
          <w:tcPr>
            <w:tcW w:w="5344" w:type="dxa"/>
            <w:tcBorders>
              <w:top w:val="single" w:sz="3" w:space="0" w:color="000000"/>
              <w:left w:val="single" w:sz="3" w:space="0" w:color="000000"/>
              <w:bottom w:val="single" w:sz="3" w:space="0" w:color="000000"/>
              <w:right w:val="single" w:sz="3" w:space="0" w:color="000000"/>
            </w:tcBorders>
          </w:tcPr>
          <w:p w14:paraId="5A10EDBF" w14:textId="77777777" w:rsidR="00541219" w:rsidRDefault="00000000">
            <w:pPr>
              <w:spacing w:after="0"/>
              <w:ind w:left="0" w:firstLine="0"/>
            </w:pPr>
            <w:r>
              <w:rPr>
                <w:sz w:val="8"/>
              </w:rPr>
              <w:t>284. Assim, em que pese sempre se ter concluído pela necessidade de alteração da estrutura de custeio e repasse do orçamento do ONS, dificuldades técnicas impediram até o momento sua execução. O desafio da gestão orçamentária do Operador, contudo, permanece, uma vez que seu orçamento em termos absolutos não é desprezível. Conforme consta da Nota Técnica no 105/2024 – STR/ANEEL, que tratou do processo tarifário da transmissão no ciclo 2024/2025, o valor considerado nas TUST é de aproximadamente R$ 955 milhões de reais.</w:t>
            </w:r>
          </w:p>
        </w:tc>
        <w:tc>
          <w:tcPr>
            <w:tcW w:w="1229" w:type="dxa"/>
            <w:tcBorders>
              <w:top w:val="single" w:sz="3" w:space="0" w:color="000000"/>
              <w:left w:val="single" w:sz="3" w:space="0" w:color="000000"/>
              <w:bottom w:val="single" w:sz="3" w:space="0" w:color="000000"/>
              <w:right w:val="single" w:sz="3" w:space="0" w:color="000000"/>
            </w:tcBorders>
            <w:vAlign w:val="center"/>
          </w:tcPr>
          <w:p w14:paraId="567DA675"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2D67A9D3" w14:textId="0D0AB1FC" w:rsidR="00541219" w:rsidRDefault="00000000">
            <w:pPr>
              <w:spacing w:after="0"/>
              <w:ind w:left="5" w:firstLine="0"/>
            </w:pPr>
            <w:r>
              <w:t xml:space="preserve">Os consumidores cativos (ACR) já são excessivamente onerados por </w:t>
            </w:r>
            <w:r w:rsidR="00F20749">
              <w:t>subsídios</w:t>
            </w:r>
            <w:r>
              <w:t xml:space="preserve"> às fontes incentivadas de 50% da TUST e TUSD que cuja </w:t>
            </w:r>
            <w:r w:rsidR="00F20749">
              <w:t>expansão</w:t>
            </w:r>
            <w:r>
              <w:t xml:space="preserve"> tem sido concentrada para o mercado livre (ACL), portanto somos totalmente favoráveis a alteração da forma de cobrança do Orçamento do ONS de forma mais justa e equilibrada.</w:t>
            </w:r>
          </w:p>
        </w:tc>
      </w:tr>
      <w:tr w:rsidR="00541219" w14:paraId="204B3D2F"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5928FD7B" w14:textId="77777777" w:rsidR="00541219" w:rsidRDefault="00000000">
            <w:pPr>
              <w:spacing w:after="0"/>
              <w:ind w:left="0" w:firstLine="0"/>
            </w:pPr>
            <w:r>
              <w:rPr>
                <w:sz w:val="8"/>
              </w:rPr>
              <w:t>285. É necessário destacar que não se propõe neste processo analisar qualquer redivisão da composição do orçamento do operador. O que se propõe é, tão somente, decidir, neste momento de elaboração da minuta do contrato de concessão, como a matéria seria tratada.</w:t>
            </w:r>
          </w:p>
        </w:tc>
        <w:tc>
          <w:tcPr>
            <w:tcW w:w="4920" w:type="dxa"/>
            <w:gridSpan w:val="2"/>
            <w:vMerge w:val="restart"/>
            <w:tcBorders>
              <w:top w:val="single" w:sz="3" w:space="0" w:color="000000"/>
              <w:left w:val="single" w:sz="3" w:space="0" w:color="000000"/>
              <w:bottom w:val="single" w:sz="3" w:space="0" w:color="000000"/>
              <w:right w:val="nil"/>
            </w:tcBorders>
          </w:tcPr>
          <w:p w14:paraId="14912BD5" w14:textId="77777777" w:rsidR="00541219" w:rsidRDefault="00541219">
            <w:pPr>
              <w:spacing w:after="160"/>
              <w:ind w:left="0" w:firstLine="0"/>
            </w:pPr>
          </w:p>
        </w:tc>
      </w:tr>
      <w:tr w:rsidR="00541219" w14:paraId="61CAB70D"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0176ED66" w14:textId="77777777" w:rsidR="00541219" w:rsidRDefault="00000000">
            <w:pPr>
              <w:spacing w:after="0"/>
              <w:ind w:left="0" w:firstLine="0"/>
            </w:pPr>
            <w:r>
              <w:rPr>
                <w:sz w:val="8"/>
              </w:rPr>
              <w:t>286. Isso porque, historicamente, os contratos de concessão já dispuseram de forma distinta sobre o tema. A versão mais recente do contrato de concessão excluiu a previsão de contratos anteriores de consideração da Contribuição Associativa como Parcela A. A partir disso, tem-se um incentivo para repasse apenas de valores eficientes dos custos da Contribuição Associativa para as tarifas dos consumidores. Contudo, considera-se insuficiente tal incentivo, uma vez que o custeio via TUST é majoritário.</w:t>
            </w:r>
          </w:p>
        </w:tc>
        <w:tc>
          <w:tcPr>
            <w:tcW w:w="0" w:type="auto"/>
            <w:gridSpan w:val="2"/>
            <w:vMerge/>
            <w:tcBorders>
              <w:top w:val="nil"/>
              <w:left w:val="single" w:sz="3" w:space="0" w:color="000000"/>
              <w:bottom w:val="nil"/>
              <w:right w:val="nil"/>
            </w:tcBorders>
          </w:tcPr>
          <w:p w14:paraId="4A7E13CF" w14:textId="77777777" w:rsidR="00541219" w:rsidRDefault="00541219">
            <w:pPr>
              <w:spacing w:after="160"/>
              <w:ind w:left="0" w:firstLine="0"/>
            </w:pPr>
          </w:p>
        </w:tc>
      </w:tr>
      <w:tr w:rsidR="00541219" w14:paraId="308F8A84"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38DD64A2" w14:textId="77777777" w:rsidR="00541219" w:rsidRDefault="00000000">
            <w:pPr>
              <w:spacing w:after="0"/>
              <w:ind w:left="0" w:firstLine="0"/>
            </w:pPr>
            <w:r>
              <w:rPr>
                <w:sz w:val="8"/>
              </w:rPr>
              <w:t>287. A assinatura de um contrato de concessão pressupõe a definição de um equilíbrio econômico-financeiro. É o momento adequado para que se atinja um dos objetivos já definidos no passado: aumento da eficiência e eficácia na gestão dos recursos destinados ao Operador. Assim, propõe-se a inclusão da seguinte subcláusula dentro da Cláusula Sexta da minuta de contrato, assim como a alteração da definição dos custos de Parcela A:</w:t>
            </w:r>
          </w:p>
        </w:tc>
        <w:tc>
          <w:tcPr>
            <w:tcW w:w="0" w:type="auto"/>
            <w:gridSpan w:val="2"/>
            <w:vMerge/>
            <w:tcBorders>
              <w:top w:val="nil"/>
              <w:left w:val="single" w:sz="3" w:space="0" w:color="000000"/>
              <w:bottom w:val="nil"/>
              <w:right w:val="nil"/>
            </w:tcBorders>
          </w:tcPr>
          <w:p w14:paraId="206A7ECF" w14:textId="77777777" w:rsidR="00541219" w:rsidRDefault="00541219">
            <w:pPr>
              <w:spacing w:after="160"/>
              <w:ind w:left="0" w:firstLine="0"/>
            </w:pPr>
          </w:p>
        </w:tc>
      </w:tr>
      <w:tr w:rsidR="00541219" w14:paraId="71A25D03"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0DC1B017" w14:textId="77777777" w:rsidR="00541219" w:rsidRDefault="00000000">
            <w:pPr>
              <w:spacing w:after="0"/>
              <w:ind w:left="497" w:firstLine="0"/>
            </w:pPr>
            <w:r>
              <w:rPr>
                <w:sz w:val="8"/>
              </w:rPr>
              <w:t xml:space="preserve">     Subcláusula Quarta – O custeio orçamentário do ONS será tratado como item de Parcela B.</w:t>
            </w:r>
          </w:p>
        </w:tc>
        <w:tc>
          <w:tcPr>
            <w:tcW w:w="0" w:type="auto"/>
            <w:gridSpan w:val="2"/>
            <w:vMerge/>
            <w:tcBorders>
              <w:top w:val="nil"/>
              <w:left w:val="single" w:sz="3" w:space="0" w:color="000000"/>
              <w:bottom w:val="nil"/>
              <w:right w:val="nil"/>
            </w:tcBorders>
          </w:tcPr>
          <w:p w14:paraId="5A8D166E" w14:textId="77777777" w:rsidR="00541219" w:rsidRDefault="00541219">
            <w:pPr>
              <w:spacing w:after="160"/>
              <w:ind w:left="0" w:firstLine="0"/>
            </w:pPr>
          </w:p>
        </w:tc>
      </w:tr>
      <w:tr w:rsidR="00541219" w14:paraId="23756F7E"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7CD7413C" w14:textId="77777777" w:rsidR="00541219" w:rsidRDefault="00000000">
            <w:pPr>
              <w:spacing w:after="0"/>
              <w:ind w:left="497" w:firstLine="0"/>
            </w:pPr>
            <w:r>
              <w:rPr>
                <w:sz w:val="8"/>
              </w:rPr>
              <w:t xml:space="preserve">     Parcela A – Custos de Conexão e de Uso das Instalações de Transmissão e/ou Distribuição de Energia Elétrica: parcela da receita da DISTRIBUIDORA associada à contratação eficiente de montantes de uso dos sistemas de transmissão e de distribuição e de pontos de conexão ou contratações de terceiros cuja responsabilidade pelo pagamento seja da DISTRIBUIDORA, excluindo-se o custeio orçamentário do ONS; e</w:t>
            </w:r>
          </w:p>
        </w:tc>
        <w:tc>
          <w:tcPr>
            <w:tcW w:w="0" w:type="auto"/>
            <w:gridSpan w:val="2"/>
            <w:vMerge/>
            <w:tcBorders>
              <w:top w:val="nil"/>
              <w:left w:val="single" w:sz="3" w:space="0" w:color="000000"/>
              <w:bottom w:val="nil"/>
              <w:right w:val="nil"/>
            </w:tcBorders>
          </w:tcPr>
          <w:p w14:paraId="68EE9275" w14:textId="77777777" w:rsidR="00541219" w:rsidRDefault="00541219">
            <w:pPr>
              <w:spacing w:after="160"/>
              <w:ind w:left="0" w:firstLine="0"/>
            </w:pPr>
          </w:p>
        </w:tc>
      </w:tr>
      <w:tr w:rsidR="00541219" w14:paraId="3B2A41E9"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6B42F835" w14:textId="77777777" w:rsidR="00541219" w:rsidRDefault="00000000">
            <w:pPr>
              <w:spacing w:after="0"/>
              <w:ind w:left="0" w:firstLine="0"/>
            </w:pPr>
            <w:r>
              <w:rPr>
                <w:sz w:val="8"/>
              </w:rPr>
              <w:t>288. A seguir, trata-se dos outros aprimoramentos não determinados pelo Decreto nº 12.068/2024.</w:t>
            </w:r>
          </w:p>
        </w:tc>
        <w:tc>
          <w:tcPr>
            <w:tcW w:w="0" w:type="auto"/>
            <w:gridSpan w:val="2"/>
            <w:vMerge/>
            <w:tcBorders>
              <w:top w:val="nil"/>
              <w:left w:val="single" w:sz="3" w:space="0" w:color="000000"/>
              <w:bottom w:val="nil"/>
              <w:right w:val="nil"/>
            </w:tcBorders>
          </w:tcPr>
          <w:p w14:paraId="0338F561" w14:textId="77777777" w:rsidR="00541219" w:rsidRDefault="00541219">
            <w:pPr>
              <w:spacing w:after="160"/>
              <w:ind w:left="0" w:firstLine="0"/>
            </w:pPr>
          </w:p>
        </w:tc>
      </w:tr>
      <w:tr w:rsidR="00541219" w14:paraId="2C306BD4" w14:textId="77777777">
        <w:trPr>
          <w:trHeight w:val="470"/>
        </w:trPr>
        <w:tc>
          <w:tcPr>
            <w:tcW w:w="5344" w:type="dxa"/>
            <w:tcBorders>
              <w:top w:val="single" w:sz="3" w:space="0" w:color="000000"/>
              <w:left w:val="single" w:sz="3" w:space="0" w:color="000000"/>
              <w:bottom w:val="single" w:sz="3" w:space="0" w:color="000000"/>
              <w:right w:val="single" w:sz="3" w:space="0" w:color="000000"/>
            </w:tcBorders>
          </w:tcPr>
          <w:p w14:paraId="5F2F5FE9" w14:textId="77777777" w:rsidR="00541219" w:rsidRDefault="00000000">
            <w:pPr>
              <w:spacing w:after="0"/>
              <w:ind w:left="0" w:firstLine="0"/>
            </w:pPr>
            <w:r>
              <w:rPr>
                <w:sz w:val="8"/>
              </w:rPr>
              <w:t>289. O primeiro deles diz respeito a forma de operar o sistema de distribuição, implementando, conforme regulação da ANEEL, centros de despacho, gestão ativa de oferta e demanda, otimização de uso da rede, tecnologias de monitoramento e análise dos dados da rede, em colaboração contínua com outros agentes e com o Operador Nacional do Sistema Elétrico, incluído na Cláusula Terceira. Esse comando busca prever no Contrato a evolução do papel da concessionária diante do cenário de transição energética e de crescimento dos recursos energéticos distribuídos.</w:t>
            </w:r>
          </w:p>
        </w:tc>
        <w:tc>
          <w:tcPr>
            <w:tcW w:w="0" w:type="auto"/>
            <w:gridSpan w:val="2"/>
            <w:vMerge/>
            <w:tcBorders>
              <w:top w:val="nil"/>
              <w:left w:val="single" w:sz="3" w:space="0" w:color="000000"/>
              <w:bottom w:val="nil"/>
              <w:right w:val="nil"/>
            </w:tcBorders>
          </w:tcPr>
          <w:p w14:paraId="377F5D70" w14:textId="77777777" w:rsidR="00541219" w:rsidRDefault="00541219">
            <w:pPr>
              <w:spacing w:after="160"/>
              <w:ind w:left="0" w:firstLine="0"/>
            </w:pPr>
          </w:p>
        </w:tc>
      </w:tr>
      <w:tr w:rsidR="00541219" w14:paraId="08970E0D"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58A56B32" w14:textId="77777777" w:rsidR="00541219" w:rsidRDefault="00000000">
            <w:pPr>
              <w:spacing w:after="0"/>
              <w:ind w:left="0" w:firstLine="0"/>
            </w:pPr>
            <w:r>
              <w:rPr>
                <w:sz w:val="8"/>
              </w:rPr>
              <w:t>290. Outro tema diz respeito à disponibilização aos usuários do Serviço de Atendimento – SAC e cumprimento de padrões relativos à efetividade e à resolutividade das reclamações, conforme previsto no Decreto nº 11.034/2022, que regulamenta o Código de Defesa do Consumidor.</w:t>
            </w:r>
          </w:p>
        </w:tc>
        <w:tc>
          <w:tcPr>
            <w:tcW w:w="0" w:type="auto"/>
            <w:gridSpan w:val="2"/>
            <w:vMerge/>
            <w:tcBorders>
              <w:top w:val="nil"/>
              <w:left w:val="single" w:sz="3" w:space="0" w:color="000000"/>
              <w:bottom w:val="nil"/>
              <w:right w:val="nil"/>
            </w:tcBorders>
          </w:tcPr>
          <w:p w14:paraId="5D0E4C6E" w14:textId="77777777" w:rsidR="00541219" w:rsidRDefault="00541219">
            <w:pPr>
              <w:spacing w:after="160"/>
              <w:ind w:left="0" w:firstLine="0"/>
            </w:pPr>
          </w:p>
        </w:tc>
      </w:tr>
      <w:tr w:rsidR="00541219" w14:paraId="3161390C" w14:textId="77777777">
        <w:trPr>
          <w:trHeight w:val="470"/>
        </w:trPr>
        <w:tc>
          <w:tcPr>
            <w:tcW w:w="5344" w:type="dxa"/>
            <w:tcBorders>
              <w:top w:val="single" w:sz="3" w:space="0" w:color="000000"/>
              <w:left w:val="single" w:sz="3" w:space="0" w:color="000000"/>
              <w:bottom w:val="single" w:sz="3" w:space="0" w:color="000000"/>
              <w:right w:val="single" w:sz="3" w:space="0" w:color="000000"/>
            </w:tcBorders>
          </w:tcPr>
          <w:p w14:paraId="2602C664" w14:textId="77777777" w:rsidR="00541219" w:rsidRDefault="00000000">
            <w:pPr>
              <w:spacing w:after="0"/>
              <w:ind w:left="0" w:right="16" w:firstLine="0"/>
            </w:pPr>
            <w:r>
              <w:rPr>
                <w:sz w:val="8"/>
              </w:rPr>
              <w:t>291. A inclusão desse dispositivo, na Cláusula Terceira dos novos contratos é fundamental, na medida em que é preciso impelir as distribuidoras a comprometerem-se efetivamente com a prestação de serviço adequado e a satisfação dos consumidores. Esse compromisso, todavia, não se esgota mediante o atendimento dos indicadores de continuidade do fornecimento e outros dispositivos técnicos. O serviço adequado e a satisfação do consumidor pressupõem, também, a capacidade de interlocução qualificada da empresa com os seus clientes – e notadamente quando há alguma intercorrência ou problema na prestação do serviço.</w:t>
            </w:r>
          </w:p>
        </w:tc>
        <w:tc>
          <w:tcPr>
            <w:tcW w:w="0" w:type="auto"/>
            <w:gridSpan w:val="2"/>
            <w:vMerge/>
            <w:tcBorders>
              <w:top w:val="nil"/>
              <w:left w:val="single" w:sz="3" w:space="0" w:color="000000"/>
              <w:bottom w:val="nil"/>
              <w:right w:val="nil"/>
            </w:tcBorders>
          </w:tcPr>
          <w:p w14:paraId="5381B09C" w14:textId="77777777" w:rsidR="00541219" w:rsidRDefault="00541219">
            <w:pPr>
              <w:spacing w:after="160"/>
              <w:ind w:left="0" w:firstLine="0"/>
            </w:pPr>
          </w:p>
        </w:tc>
      </w:tr>
      <w:tr w:rsidR="00541219" w14:paraId="64172F92"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79D65C2B" w14:textId="77777777" w:rsidR="00541219" w:rsidRDefault="00000000">
            <w:pPr>
              <w:spacing w:after="0"/>
              <w:ind w:left="0" w:right="86" w:firstLine="0"/>
              <w:jc w:val="both"/>
            </w:pPr>
            <w:r>
              <w:rPr>
                <w:sz w:val="8"/>
              </w:rPr>
              <w:t>292. A distribuidora deve, portanto, contar com canais suficientes e adequados para recepcionar o contato dos consumidores. Mas esses canais não podem ser apenas um espaço físico e/ou virtual de recepção – é imperativo que sejam uma ferramenta efetiva de resolução de problemas, de reversão da insatisfação do usuário.</w:t>
            </w:r>
          </w:p>
        </w:tc>
        <w:tc>
          <w:tcPr>
            <w:tcW w:w="0" w:type="auto"/>
            <w:gridSpan w:val="2"/>
            <w:vMerge/>
            <w:tcBorders>
              <w:top w:val="nil"/>
              <w:left w:val="single" w:sz="3" w:space="0" w:color="000000"/>
              <w:bottom w:val="nil"/>
              <w:right w:val="nil"/>
            </w:tcBorders>
          </w:tcPr>
          <w:p w14:paraId="2F9AE385" w14:textId="77777777" w:rsidR="00541219" w:rsidRDefault="00541219">
            <w:pPr>
              <w:spacing w:after="160"/>
              <w:ind w:left="0" w:firstLine="0"/>
            </w:pPr>
          </w:p>
        </w:tc>
      </w:tr>
      <w:tr w:rsidR="00541219" w14:paraId="33EF8D35"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6888CE1A" w14:textId="77777777" w:rsidR="00541219" w:rsidRDefault="00000000">
            <w:pPr>
              <w:spacing w:after="0"/>
              <w:ind w:left="0" w:firstLine="0"/>
            </w:pPr>
            <w:r>
              <w:rPr>
                <w:sz w:val="8"/>
              </w:rPr>
              <w:t>293. Não raro, porém, o descontentamento do reclamante subsiste após buscar solução junto à distribuidora. Para circunstâncias dessa natureza, então, a ANEEL disponibiliza aos consumidores os serviços da Ouvidoria Setorial, que, por meio do Sistema de Gestão de Ouvidoria (SGO), faz a interlocução com as distribuidoras a fim de estabelecer o contraditório, obter os esclarecimentos necessários e, à luz da regulação, orientar uma solução para a demanda apresentada.</w:t>
            </w:r>
          </w:p>
        </w:tc>
        <w:tc>
          <w:tcPr>
            <w:tcW w:w="0" w:type="auto"/>
            <w:gridSpan w:val="2"/>
            <w:vMerge/>
            <w:tcBorders>
              <w:top w:val="nil"/>
              <w:left w:val="single" w:sz="3" w:space="0" w:color="000000"/>
              <w:bottom w:val="nil"/>
              <w:right w:val="nil"/>
            </w:tcBorders>
          </w:tcPr>
          <w:p w14:paraId="6357A205" w14:textId="77777777" w:rsidR="00541219" w:rsidRDefault="00541219">
            <w:pPr>
              <w:spacing w:after="160"/>
              <w:ind w:left="0" w:firstLine="0"/>
            </w:pPr>
          </w:p>
        </w:tc>
      </w:tr>
      <w:tr w:rsidR="00541219" w14:paraId="04549307" w14:textId="77777777">
        <w:trPr>
          <w:trHeight w:val="564"/>
        </w:trPr>
        <w:tc>
          <w:tcPr>
            <w:tcW w:w="5344" w:type="dxa"/>
            <w:tcBorders>
              <w:top w:val="single" w:sz="3" w:space="0" w:color="000000"/>
              <w:left w:val="single" w:sz="3" w:space="0" w:color="000000"/>
              <w:bottom w:val="single" w:sz="3" w:space="0" w:color="000000"/>
              <w:right w:val="single" w:sz="3" w:space="0" w:color="000000"/>
            </w:tcBorders>
          </w:tcPr>
          <w:p w14:paraId="0808F99B" w14:textId="77777777" w:rsidR="00541219" w:rsidRDefault="00000000">
            <w:pPr>
              <w:spacing w:after="0"/>
              <w:ind w:left="0" w:firstLine="0"/>
            </w:pPr>
            <w:r>
              <w:rPr>
                <w:sz w:val="8"/>
              </w:rPr>
              <w:t>294. Entretanto, as orientações emitidas pela Ouvidoria da ANEEL não são revestidas de caráter decisório e impositivo – diferentemente dos processos administrativos, que gozam dessa prerrogativa decisória. Diante do conhecimento dessa dicotomia, e da inexistência de indicadores de resolutividade exigíveis no âmbito do SGO, as distribuidoras manejam com prazos, esclarecimentos e soluções, por vezes de forma deliberada e flagrantemente protelatória. Tal realidade, inegavelmente, fragiliza o trabalho da SMA perante as empresas; mais grave, no entanto, é que descredibiliza a imagem da ANEEL perante a opinião pública, pois sugere que a Agência é leniente com os agentes do setor elétrico.</w:t>
            </w:r>
          </w:p>
        </w:tc>
        <w:tc>
          <w:tcPr>
            <w:tcW w:w="0" w:type="auto"/>
            <w:gridSpan w:val="2"/>
            <w:vMerge/>
            <w:tcBorders>
              <w:top w:val="nil"/>
              <w:left w:val="single" w:sz="3" w:space="0" w:color="000000"/>
              <w:bottom w:val="nil"/>
              <w:right w:val="nil"/>
            </w:tcBorders>
          </w:tcPr>
          <w:p w14:paraId="5B5C707F" w14:textId="77777777" w:rsidR="00541219" w:rsidRDefault="00541219">
            <w:pPr>
              <w:spacing w:after="160"/>
              <w:ind w:left="0" w:firstLine="0"/>
            </w:pPr>
          </w:p>
        </w:tc>
      </w:tr>
      <w:tr w:rsidR="00541219" w14:paraId="3519C853"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3B9933AF" w14:textId="77777777" w:rsidR="00541219" w:rsidRDefault="00000000">
            <w:pPr>
              <w:spacing w:after="0"/>
              <w:ind w:left="0" w:right="1" w:firstLine="0"/>
            </w:pPr>
            <w:r>
              <w:rPr>
                <w:sz w:val="8"/>
              </w:rPr>
              <w:t>295. Afora a Ouvidoria Setorial da ANEEL, outra ferramenta cujo indicador de resolutividade também deveria constar nos novos contratos de concessão é o Consumidor.gov.br – plataforma digital oficial da administração pública federal direta, autárquica e fundacional para a autocomposição nas controvérsias em relações de consumo (nos termos do Art. 1o-A, do Decreto no 8573/2015), sob gestão da Secretaria Nacional do Consumidor – Senacon, do Ministério da Justiça.</w:t>
            </w:r>
          </w:p>
        </w:tc>
        <w:tc>
          <w:tcPr>
            <w:tcW w:w="0" w:type="auto"/>
            <w:gridSpan w:val="2"/>
            <w:vMerge/>
            <w:tcBorders>
              <w:top w:val="nil"/>
              <w:left w:val="single" w:sz="3" w:space="0" w:color="000000"/>
              <w:bottom w:val="nil"/>
              <w:right w:val="nil"/>
            </w:tcBorders>
          </w:tcPr>
          <w:p w14:paraId="7F6086A1" w14:textId="77777777" w:rsidR="00541219" w:rsidRDefault="00541219">
            <w:pPr>
              <w:spacing w:after="160"/>
              <w:ind w:left="0" w:firstLine="0"/>
            </w:pPr>
          </w:p>
        </w:tc>
      </w:tr>
      <w:tr w:rsidR="00541219" w14:paraId="7541BF9A" w14:textId="77777777">
        <w:trPr>
          <w:trHeight w:val="470"/>
        </w:trPr>
        <w:tc>
          <w:tcPr>
            <w:tcW w:w="5344" w:type="dxa"/>
            <w:tcBorders>
              <w:top w:val="single" w:sz="3" w:space="0" w:color="000000"/>
              <w:left w:val="single" w:sz="3" w:space="0" w:color="000000"/>
              <w:bottom w:val="single" w:sz="3" w:space="0" w:color="000000"/>
              <w:right w:val="single" w:sz="3" w:space="0" w:color="000000"/>
            </w:tcBorders>
          </w:tcPr>
          <w:p w14:paraId="3926D91E" w14:textId="77777777" w:rsidR="00541219" w:rsidRDefault="00000000">
            <w:pPr>
              <w:spacing w:after="0"/>
              <w:ind w:left="0" w:firstLine="0"/>
            </w:pPr>
            <w:r>
              <w:rPr>
                <w:sz w:val="8"/>
              </w:rPr>
              <w:t xml:space="preserve">296. O Consumidor.gov.br, que viabiliza um ambiente de comunicação direta com as empresas para a solução de conflitos, tem entre os seus objetivos o incentivo à competitividade por meio da melhoria da qualidade do atendimento ao consumidor (Art. 2o, VI). Isso posto, resta evidente que prever </w:t>
            </w:r>
            <w:proofErr w:type="gramStart"/>
            <w:r>
              <w:rPr>
                <w:sz w:val="8"/>
              </w:rPr>
              <w:t>um  indicador</w:t>
            </w:r>
            <w:proofErr w:type="gramEnd"/>
            <w:r>
              <w:rPr>
                <w:sz w:val="8"/>
              </w:rPr>
              <w:t xml:space="preserve"> de resolutividade nas renovações de concessão está em absoluta sintonia com a ideia de, por meio da competição e comparação entre as empresas, aumentar a satisfação do consumidor – que é, em última análise, a razão de ser de toda e qualquer prestação de serviço público.</w:t>
            </w:r>
          </w:p>
        </w:tc>
        <w:tc>
          <w:tcPr>
            <w:tcW w:w="0" w:type="auto"/>
            <w:gridSpan w:val="2"/>
            <w:vMerge/>
            <w:tcBorders>
              <w:top w:val="nil"/>
              <w:left w:val="single" w:sz="3" w:space="0" w:color="000000"/>
              <w:bottom w:val="single" w:sz="3" w:space="0" w:color="000000"/>
              <w:right w:val="nil"/>
            </w:tcBorders>
          </w:tcPr>
          <w:p w14:paraId="226419E2" w14:textId="77777777" w:rsidR="00541219" w:rsidRDefault="00541219">
            <w:pPr>
              <w:spacing w:after="160"/>
              <w:ind w:left="0" w:firstLine="0"/>
            </w:pPr>
          </w:p>
        </w:tc>
      </w:tr>
      <w:tr w:rsidR="00541219" w14:paraId="674EB6A4" w14:textId="77777777">
        <w:trPr>
          <w:trHeight w:val="331"/>
        </w:trPr>
        <w:tc>
          <w:tcPr>
            <w:tcW w:w="5344" w:type="dxa"/>
            <w:tcBorders>
              <w:top w:val="single" w:sz="3" w:space="0" w:color="000000"/>
              <w:left w:val="single" w:sz="3" w:space="0" w:color="000000"/>
              <w:bottom w:val="single" w:sz="3" w:space="0" w:color="000000"/>
              <w:right w:val="single" w:sz="3" w:space="0" w:color="000000"/>
            </w:tcBorders>
          </w:tcPr>
          <w:p w14:paraId="7660623D" w14:textId="77777777" w:rsidR="00541219" w:rsidRDefault="00000000">
            <w:pPr>
              <w:spacing w:after="0"/>
              <w:ind w:left="0" w:right="43" w:firstLine="0"/>
              <w:jc w:val="both"/>
            </w:pPr>
            <w:r>
              <w:rPr>
                <w:sz w:val="8"/>
              </w:rPr>
              <w:lastRenderedPageBreak/>
              <w:t>297. Destarte, considerando tudo quanto foi dito, resulta evidente a importância de que essa obrigação esteja prevista nos novos contratos de concessão, porque tal previsão lhes confere um peso institucional e, para além disso, demonstra que a atenção da ANEEL à satisfação do consumidor está presente desde o momento primeiro da concessão.</w:t>
            </w:r>
          </w:p>
        </w:tc>
        <w:tc>
          <w:tcPr>
            <w:tcW w:w="1229" w:type="dxa"/>
            <w:tcBorders>
              <w:top w:val="single" w:sz="3" w:space="0" w:color="000000"/>
              <w:left w:val="single" w:sz="3" w:space="0" w:color="000000"/>
              <w:bottom w:val="single" w:sz="3" w:space="0" w:color="000000"/>
              <w:right w:val="single" w:sz="3" w:space="0" w:color="000000"/>
            </w:tcBorders>
            <w:vAlign w:val="center"/>
          </w:tcPr>
          <w:p w14:paraId="6AA5C28E"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7425C049" w14:textId="4C9ED5C6" w:rsidR="00541219" w:rsidRDefault="00000000" w:rsidP="00C52972">
            <w:pPr>
              <w:spacing w:after="0"/>
              <w:ind w:left="5" w:firstLine="0"/>
              <w:jc w:val="both"/>
            </w:pPr>
            <w:r>
              <w:t xml:space="preserve">Corroboramos com a Aneel da </w:t>
            </w:r>
            <w:r w:rsidR="00C52972">
              <w:t>importância</w:t>
            </w:r>
            <w:r>
              <w:t xml:space="preserve"> de previsão nos Contratos de Concessão dos mecanismos de atendimento ao consumidor, da ouvidoria e da adesão à plataforma Consumidor.gov.br.</w:t>
            </w:r>
          </w:p>
        </w:tc>
      </w:tr>
      <w:tr w:rsidR="00541219" w14:paraId="7E881B49" w14:textId="77777777">
        <w:trPr>
          <w:trHeight w:val="221"/>
        </w:trPr>
        <w:tc>
          <w:tcPr>
            <w:tcW w:w="5344" w:type="dxa"/>
            <w:tcBorders>
              <w:top w:val="single" w:sz="3" w:space="0" w:color="000000"/>
              <w:left w:val="single" w:sz="3" w:space="0" w:color="000000"/>
              <w:bottom w:val="single" w:sz="3" w:space="0" w:color="000000"/>
              <w:right w:val="single" w:sz="3" w:space="0" w:color="000000"/>
            </w:tcBorders>
          </w:tcPr>
          <w:p w14:paraId="51C190D0" w14:textId="77777777" w:rsidR="00541219" w:rsidRDefault="00000000">
            <w:pPr>
              <w:spacing w:after="0"/>
              <w:ind w:left="0" w:firstLine="0"/>
              <w:jc w:val="both"/>
            </w:pPr>
            <w:r>
              <w:rPr>
                <w:sz w:val="8"/>
              </w:rPr>
              <w:t>298. Outra disposição na Cláusula Terceira relaciona-se a explicitação da obrigação da distribuidora pela criação e manutenção em sua área de concessão do Conselho de Consumidores, conforme Lei nº 8.631/1993.</w:t>
            </w:r>
          </w:p>
        </w:tc>
        <w:tc>
          <w:tcPr>
            <w:tcW w:w="1229" w:type="dxa"/>
            <w:tcBorders>
              <w:top w:val="single" w:sz="3" w:space="0" w:color="000000"/>
              <w:left w:val="single" w:sz="3" w:space="0" w:color="000000"/>
              <w:bottom w:val="single" w:sz="3" w:space="0" w:color="000000"/>
              <w:right w:val="single" w:sz="3" w:space="0" w:color="000000"/>
            </w:tcBorders>
          </w:tcPr>
          <w:p w14:paraId="09DD503C"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0A5BCB04" w14:textId="77777777" w:rsidR="00541219" w:rsidRDefault="00000000">
            <w:pPr>
              <w:spacing w:after="0"/>
              <w:ind w:left="5" w:firstLine="0"/>
            </w:pPr>
            <w:r>
              <w:t>O Conselho de Consumidores tem participado com intensidade em cumprir essa atribuição.</w:t>
            </w:r>
          </w:p>
        </w:tc>
      </w:tr>
      <w:tr w:rsidR="00541219" w14:paraId="397080B0"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468BC09F" w14:textId="77777777" w:rsidR="00541219" w:rsidRDefault="00000000">
            <w:pPr>
              <w:spacing w:after="0"/>
              <w:ind w:left="0" w:firstLine="0"/>
            </w:pPr>
            <w:r>
              <w:rPr>
                <w:sz w:val="8"/>
              </w:rPr>
              <w:t>299. Também foi incluída na Cláusula Terceira disposição que trata da necessidade de zelar pela qualidade dos dados e informações produzidas, atinentes à prestação do serviço público de distribuição, enviadas à ANEEL e aquelas disponibilizadas ao público em geral.</w:t>
            </w:r>
          </w:p>
        </w:tc>
        <w:tc>
          <w:tcPr>
            <w:tcW w:w="4920" w:type="dxa"/>
            <w:gridSpan w:val="2"/>
            <w:vMerge w:val="restart"/>
            <w:tcBorders>
              <w:top w:val="single" w:sz="3" w:space="0" w:color="000000"/>
              <w:left w:val="single" w:sz="3" w:space="0" w:color="000000"/>
              <w:bottom w:val="nil"/>
              <w:right w:val="nil"/>
            </w:tcBorders>
          </w:tcPr>
          <w:p w14:paraId="7A696C66" w14:textId="77777777" w:rsidR="00541219" w:rsidRDefault="00541219">
            <w:pPr>
              <w:spacing w:after="160"/>
              <w:ind w:left="0" w:firstLine="0"/>
            </w:pPr>
          </w:p>
        </w:tc>
      </w:tr>
      <w:tr w:rsidR="00541219" w14:paraId="5E3F1D4D" w14:textId="77777777">
        <w:trPr>
          <w:trHeight w:val="564"/>
        </w:trPr>
        <w:tc>
          <w:tcPr>
            <w:tcW w:w="5344" w:type="dxa"/>
            <w:tcBorders>
              <w:top w:val="single" w:sz="3" w:space="0" w:color="000000"/>
              <w:left w:val="single" w:sz="3" w:space="0" w:color="000000"/>
              <w:bottom w:val="single" w:sz="3" w:space="0" w:color="000000"/>
              <w:right w:val="single" w:sz="3" w:space="0" w:color="000000"/>
            </w:tcBorders>
          </w:tcPr>
          <w:p w14:paraId="2C05AEB0" w14:textId="77777777" w:rsidR="00541219" w:rsidRDefault="00000000">
            <w:pPr>
              <w:spacing w:after="0"/>
              <w:ind w:left="0" w:firstLine="0"/>
            </w:pPr>
            <w:r>
              <w:rPr>
                <w:sz w:val="8"/>
              </w:rPr>
              <w:t>300. O avanço dos sistemas computacionais nos últimos anos tem possibilitado a captura e o armazenamento de um volume expressivo de dados. Nesse contexto, a gestão estratégica baseada na análise de dados tem sido uma necessidade crescente em todos os setores da economia. A inteligência dos dados permite controlar processos, direcionar ações e otimizar recursos tanto para os concessionários de serviços públicos quanto para os órgãos reguladores. A qualidade dos dados é fator preponderante para tomadas de decisões, assertividade das análises e efetividade das ações. Na contramão, dados errados implicam em análises erradas, decisões erradas e ações erradas, gerando custos desnecessários, tempo desperdiçado e ineficiência de processos.</w:t>
            </w:r>
          </w:p>
        </w:tc>
        <w:tc>
          <w:tcPr>
            <w:tcW w:w="0" w:type="auto"/>
            <w:gridSpan w:val="2"/>
            <w:vMerge/>
            <w:tcBorders>
              <w:top w:val="nil"/>
              <w:left w:val="single" w:sz="3" w:space="0" w:color="000000"/>
              <w:bottom w:val="nil"/>
              <w:right w:val="nil"/>
            </w:tcBorders>
          </w:tcPr>
          <w:p w14:paraId="710B6C1A" w14:textId="77777777" w:rsidR="00541219" w:rsidRDefault="00541219">
            <w:pPr>
              <w:spacing w:after="160"/>
              <w:ind w:left="0" w:firstLine="0"/>
            </w:pPr>
          </w:p>
        </w:tc>
      </w:tr>
      <w:tr w:rsidR="00541219" w14:paraId="3280D1F9" w14:textId="77777777">
        <w:trPr>
          <w:trHeight w:val="470"/>
        </w:trPr>
        <w:tc>
          <w:tcPr>
            <w:tcW w:w="5344" w:type="dxa"/>
            <w:tcBorders>
              <w:top w:val="single" w:sz="3" w:space="0" w:color="000000"/>
              <w:left w:val="single" w:sz="3" w:space="0" w:color="000000"/>
              <w:bottom w:val="single" w:sz="3" w:space="0" w:color="000000"/>
              <w:right w:val="single" w:sz="3" w:space="0" w:color="000000"/>
            </w:tcBorders>
          </w:tcPr>
          <w:p w14:paraId="3653F68E" w14:textId="77777777" w:rsidR="00541219" w:rsidRDefault="00000000">
            <w:pPr>
              <w:spacing w:after="0"/>
              <w:ind w:left="0" w:right="5" w:firstLine="0"/>
            </w:pPr>
            <w:r>
              <w:rPr>
                <w:sz w:val="8"/>
              </w:rPr>
              <w:t>301. Considerando que o segmento de distribuição é fortemente orientado a dados e que esses dados são produzidos inteiramente pelos agentes, é de extrema importância que haja uma maior atenção por parte das concessionárias acerca da confiabilidade dos dados disponibilizados ao regulador e ao público em geral. Recentemente, tem-se diagnosticado diversos erros por parte dos agentes em relação aos dados enviados à ANEEL, gerando retrabalhos e custo adicional para a sociedade. Logo, com o intuito de dar maior relevância ao tema, entende-se por necessário explicitar no contrato de concessão a obrigação de o agente zelar pela qualidade dos dados produzidos.</w:t>
            </w:r>
          </w:p>
        </w:tc>
        <w:tc>
          <w:tcPr>
            <w:tcW w:w="0" w:type="auto"/>
            <w:gridSpan w:val="2"/>
            <w:vMerge/>
            <w:tcBorders>
              <w:top w:val="nil"/>
              <w:left w:val="single" w:sz="3" w:space="0" w:color="000000"/>
              <w:bottom w:val="nil"/>
              <w:right w:val="nil"/>
            </w:tcBorders>
          </w:tcPr>
          <w:p w14:paraId="4E26686C" w14:textId="77777777" w:rsidR="00541219" w:rsidRDefault="00541219">
            <w:pPr>
              <w:spacing w:after="160"/>
              <w:ind w:left="0" w:firstLine="0"/>
            </w:pPr>
          </w:p>
        </w:tc>
      </w:tr>
      <w:tr w:rsidR="00541219" w14:paraId="5444EB67"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13041606" w14:textId="77777777" w:rsidR="00541219" w:rsidRDefault="00000000">
            <w:pPr>
              <w:spacing w:after="0"/>
              <w:ind w:left="0" w:right="7" w:firstLine="0"/>
            </w:pPr>
            <w:r>
              <w:rPr>
                <w:sz w:val="8"/>
              </w:rPr>
              <w:t xml:space="preserve">302. Está sendo sugerido ainda um maior detalhamento da </w:t>
            </w:r>
            <w:proofErr w:type="spellStart"/>
            <w:r>
              <w:rPr>
                <w:sz w:val="8"/>
              </w:rPr>
              <w:t>Subclaúsula</w:t>
            </w:r>
            <w:proofErr w:type="spellEnd"/>
            <w:r>
              <w:rPr>
                <w:sz w:val="8"/>
              </w:rPr>
              <w:t xml:space="preserve"> Segunda da Cláusula Quinta, a qual trata da Expansão e Ampliação dos Sistemas de Distribuição, contemplando no planejamento a inserção e integração de recursos energéticos distribuídos e de </w:t>
            </w:r>
            <w:proofErr w:type="spellStart"/>
            <w:r>
              <w:rPr>
                <w:sz w:val="8"/>
              </w:rPr>
              <w:t>microrredes</w:t>
            </w:r>
            <w:proofErr w:type="spellEnd"/>
            <w:r>
              <w:rPr>
                <w:sz w:val="8"/>
              </w:rPr>
              <w:t>, a participação ativa dos usuários, incluindo programas de resposta à demanda e eficiência energética, e demais alternativas que não contemplem a expansão de suas redes de distribuição de energia elétrica.</w:t>
            </w:r>
          </w:p>
        </w:tc>
        <w:tc>
          <w:tcPr>
            <w:tcW w:w="0" w:type="auto"/>
            <w:gridSpan w:val="2"/>
            <w:vMerge/>
            <w:tcBorders>
              <w:top w:val="nil"/>
              <w:left w:val="single" w:sz="3" w:space="0" w:color="000000"/>
              <w:bottom w:val="nil"/>
              <w:right w:val="nil"/>
            </w:tcBorders>
          </w:tcPr>
          <w:p w14:paraId="1ECDB27B" w14:textId="77777777" w:rsidR="00541219" w:rsidRDefault="00541219">
            <w:pPr>
              <w:spacing w:after="160"/>
              <w:ind w:left="0" w:firstLine="0"/>
            </w:pPr>
          </w:p>
        </w:tc>
      </w:tr>
      <w:tr w:rsidR="00541219" w14:paraId="58480BC8" w14:textId="77777777">
        <w:trPr>
          <w:trHeight w:val="470"/>
        </w:trPr>
        <w:tc>
          <w:tcPr>
            <w:tcW w:w="5344" w:type="dxa"/>
            <w:tcBorders>
              <w:top w:val="single" w:sz="3" w:space="0" w:color="000000"/>
              <w:left w:val="single" w:sz="3" w:space="0" w:color="000000"/>
              <w:bottom w:val="single" w:sz="3" w:space="0" w:color="000000"/>
              <w:right w:val="single" w:sz="3" w:space="0" w:color="000000"/>
            </w:tcBorders>
          </w:tcPr>
          <w:p w14:paraId="7307BCA2" w14:textId="77777777" w:rsidR="00541219" w:rsidRDefault="00000000">
            <w:pPr>
              <w:spacing w:after="0"/>
              <w:ind w:left="0" w:firstLine="0"/>
            </w:pPr>
            <w:r>
              <w:rPr>
                <w:sz w:val="8"/>
              </w:rPr>
              <w:t xml:space="preserve">303. Por fim, o Decreto 12.068/24 estabelece que a minuta do termo aditivo deve conter cláusula que assegurem a “promoção de capacitação de </w:t>
            </w:r>
          </w:p>
          <w:p w14:paraId="0ADC9A7A" w14:textId="77777777" w:rsidR="00541219" w:rsidRDefault="00000000">
            <w:pPr>
              <w:spacing w:after="0"/>
              <w:ind w:left="0" w:firstLine="0"/>
            </w:pPr>
            <w:r>
              <w:rPr>
                <w:sz w:val="8"/>
              </w:rPr>
              <w:t xml:space="preserve">profissionais da área de concessão, incluindo critérios de diversidade e condições socioeconômicas”. Neste aspecto, entendemos ser possível avançar nesse tópico para além do que o Decreto propõe, considerando as políticas públicas instituídas nesse sentido, como, por exemplo, a disposição sobre critérios remuneratórios de que trata a Lei no 14.611, de 03 de julho de 2023. Desse modo, propõe-se adicionar, na Cláusula Terceira, que trata das Obrigações e Encargos, as seguintes obrigações para a distribuidora: </w:t>
            </w:r>
          </w:p>
        </w:tc>
        <w:tc>
          <w:tcPr>
            <w:tcW w:w="0" w:type="auto"/>
            <w:gridSpan w:val="2"/>
            <w:vMerge/>
            <w:tcBorders>
              <w:top w:val="nil"/>
              <w:left w:val="single" w:sz="3" w:space="0" w:color="000000"/>
              <w:bottom w:val="nil"/>
              <w:right w:val="nil"/>
            </w:tcBorders>
          </w:tcPr>
          <w:p w14:paraId="4C1EE51B" w14:textId="77777777" w:rsidR="00541219" w:rsidRDefault="00541219">
            <w:pPr>
              <w:spacing w:after="160"/>
              <w:ind w:left="0" w:firstLine="0"/>
            </w:pPr>
          </w:p>
        </w:tc>
      </w:tr>
      <w:tr w:rsidR="00541219" w14:paraId="75DFEF70"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5EF8E2BA" w14:textId="77777777" w:rsidR="00541219" w:rsidRDefault="00000000">
            <w:pPr>
              <w:spacing w:after="0"/>
              <w:ind w:left="497" w:firstLine="0"/>
            </w:pPr>
            <w:r>
              <w:rPr>
                <w:sz w:val="8"/>
              </w:rPr>
              <w:t xml:space="preserve">     (i) promover a capacitação de profissionais da área de concessão, incluindo critérios de diversidade e condições socioeconômicas;</w:t>
            </w:r>
          </w:p>
        </w:tc>
        <w:tc>
          <w:tcPr>
            <w:tcW w:w="0" w:type="auto"/>
            <w:gridSpan w:val="2"/>
            <w:vMerge/>
            <w:tcBorders>
              <w:top w:val="nil"/>
              <w:left w:val="single" w:sz="3" w:space="0" w:color="000000"/>
              <w:bottom w:val="nil"/>
              <w:right w:val="nil"/>
            </w:tcBorders>
          </w:tcPr>
          <w:p w14:paraId="0D1EE911" w14:textId="77777777" w:rsidR="00541219" w:rsidRDefault="00541219">
            <w:pPr>
              <w:spacing w:after="160"/>
              <w:ind w:left="0" w:firstLine="0"/>
            </w:pPr>
          </w:p>
        </w:tc>
      </w:tr>
      <w:tr w:rsidR="00541219" w14:paraId="32C707CD"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2AF199B8" w14:textId="77777777" w:rsidR="00541219" w:rsidRDefault="00000000">
            <w:pPr>
              <w:spacing w:after="0"/>
              <w:ind w:left="497" w:firstLine="0"/>
            </w:pPr>
            <w:r>
              <w:rPr>
                <w:sz w:val="8"/>
              </w:rPr>
              <w:t xml:space="preserve">     (</w:t>
            </w:r>
            <w:proofErr w:type="spellStart"/>
            <w:r>
              <w:rPr>
                <w:sz w:val="8"/>
              </w:rPr>
              <w:t>ii</w:t>
            </w:r>
            <w:proofErr w:type="spellEnd"/>
            <w:r>
              <w:rPr>
                <w:sz w:val="8"/>
              </w:rPr>
              <w:t>) estabelecer mecanismos de transparência salarial e de critérios remuneratórios para a realização de trabalho de igual valor ou no exercício da mesma função; e</w:t>
            </w:r>
          </w:p>
        </w:tc>
        <w:tc>
          <w:tcPr>
            <w:tcW w:w="0" w:type="auto"/>
            <w:gridSpan w:val="2"/>
            <w:vMerge/>
            <w:tcBorders>
              <w:top w:val="nil"/>
              <w:left w:val="single" w:sz="3" w:space="0" w:color="000000"/>
              <w:bottom w:val="nil"/>
              <w:right w:val="nil"/>
            </w:tcBorders>
          </w:tcPr>
          <w:p w14:paraId="11A2EF67" w14:textId="77777777" w:rsidR="00541219" w:rsidRDefault="00541219">
            <w:pPr>
              <w:spacing w:after="160"/>
              <w:ind w:left="0" w:firstLine="0"/>
            </w:pPr>
          </w:p>
        </w:tc>
      </w:tr>
      <w:tr w:rsidR="00541219" w14:paraId="4028D189" w14:textId="77777777">
        <w:trPr>
          <w:trHeight w:val="245"/>
        </w:trPr>
        <w:tc>
          <w:tcPr>
            <w:tcW w:w="5344" w:type="dxa"/>
            <w:tcBorders>
              <w:top w:val="single" w:sz="3" w:space="0" w:color="000000"/>
              <w:left w:val="single" w:sz="3" w:space="0" w:color="000000"/>
              <w:bottom w:val="double" w:sz="3" w:space="0" w:color="000000"/>
              <w:right w:val="single" w:sz="3" w:space="0" w:color="000000"/>
            </w:tcBorders>
          </w:tcPr>
          <w:p w14:paraId="188324F5" w14:textId="77777777" w:rsidR="00541219" w:rsidRDefault="00000000">
            <w:pPr>
              <w:spacing w:after="0"/>
              <w:ind w:left="497" w:firstLine="0"/>
            </w:pPr>
            <w:r>
              <w:rPr>
                <w:sz w:val="8"/>
              </w:rPr>
              <w:t xml:space="preserve">     (</w:t>
            </w:r>
            <w:proofErr w:type="spellStart"/>
            <w:r>
              <w:rPr>
                <w:sz w:val="8"/>
              </w:rPr>
              <w:t>iii</w:t>
            </w:r>
            <w:proofErr w:type="spellEnd"/>
            <w:r>
              <w:rPr>
                <w:sz w:val="8"/>
              </w:rPr>
              <w:t>) promover e implementar programas de diversidade e inclusão no ambiente de trabalho, definindo metas na busca de equidade de raça e gênero em todos os níveis da empresa.</w:t>
            </w:r>
          </w:p>
        </w:tc>
        <w:tc>
          <w:tcPr>
            <w:tcW w:w="0" w:type="auto"/>
            <w:gridSpan w:val="2"/>
            <w:vMerge/>
            <w:tcBorders>
              <w:top w:val="nil"/>
              <w:left w:val="single" w:sz="3" w:space="0" w:color="000000"/>
              <w:bottom w:val="nil"/>
              <w:right w:val="nil"/>
            </w:tcBorders>
          </w:tcPr>
          <w:p w14:paraId="7A2D8A8A" w14:textId="77777777" w:rsidR="00541219" w:rsidRDefault="00541219">
            <w:pPr>
              <w:spacing w:after="160"/>
              <w:ind w:left="0" w:firstLine="0"/>
            </w:pPr>
          </w:p>
        </w:tc>
      </w:tr>
      <w:tr w:rsidR="00541219" w14:paraId="209884C2" w14:textId="77777777">
        <w:trPr>
          <w:trHeight w:val="338"/>
        </w:trPr>
        <w:tc>
          <w:tcPr>
            <w:tcW w:w="5344" w:type="dxa"/>
            <w:tcBorders>
              <w:top w:val="double" w:sz="3" w:space="0" w:color="000000"/>
              <w:left w:val="single" w:sz="3" w:space="0" w:color="000000"/>
              <w:bottom w:val="single" w:sz="3" w:space="0" w:color="000000"/>
              <w:right w:val="single" w:sz="3" w:space="0" w:color="000000"/>
            </w:tcBorders>
          </w:tcPr>
          <w:p w14:paraId="78FB42EB" w14:textId="77777777" w:rsidR="00541219" w:rsidRDefault="00000000">
            <w:pPr>
              <w:spacing w:after="27"/>
              <w:ind w:left="2" w:firstLine="0"/>
            </w:pPr>
            <w:r>
              <w:t>III.2 – DOS CRITÉRIOS PARA AVALIAÇÃO DA PRORROGAÇÃO DAS CONCESSÕES DE DISTRIBUIÇÃO</w:t>
            </w:r>
          </w:p>
          <w:p w14:paraId="5A431C84" w14:textId="77777777" w:rsidR="00541219" w:rsidRDefault="00000000">
            <w:pPr>
              <w:spacing w:after="0"/>
              <w:ind w:left="0" w:firstLine="0"/>
            </w:pPr>
            <w:r>
              <w:rPr>
                <w:sz w:val="8"/>
              </w:rPr>
              <w:t xml:space="preserve">304. A prorrogação das concessões de distribuição fica condicionada à demonstração da prestação do serviço adequado, que será verificada com base nos critérios definidos por meio de regulamento da ANEEL, relativos à eficiência da continuidade do fornecimento e da gestão </w:t>
            </w:r>
            <w:proofErr w:type="gramStart"/>
            <w:r>
              <w:rPr>
                <w:sz w:val="8"/>
              </w:rPr>
              <w:t>econômico- financeira</w:t>
            </w:r>
            <w:proofErr w:type="gramEnd"/>
            <w:r>
              <w:rPr>
                <w:sz w:val="8"/>
              </w:rPr>
              <w:t>.</w:t>
            </w:r>
          </w:p>
        </w:tc>
        <w:tc>
          <w:tcPr>
            <w:tcW w:w="0" w:type="auto"/>
            <w:gridSpan w:val="2"/>
            <w:vMerge/>
            <w:tcBorders>
              <w:top w:val="nil"/>
              <w:left w:val="single" w:sz="3" w:space="0" w:color="000000"/>
              <w:bottom w:val="nil"/>
              <w:right w:val="nil"/>
            </w:tcBorders>
          </w:tcPr>
          <w:p w14:paraId="5BA9EA90" w14:textId="77777777" w:rsidR="00541219" w:rsidRDefault="00541219">
            <w:pPr>
              <w:spacing w:after="160"/>
              <w:ind w:left="0" w:firstLine="0"/>
            </w:pPr>
          </w:p>
        </w:tc>
      </w:tr>
      <w:tr w:rsidR="00541219" w14:paraId="5FE50C1F"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1629D647" w14:textId="77777777" w:rsidR="00541219" w:rsidRDefault="00000000">
            <w:pPr>
              <w:spacing w:after="0"/>
              <w:ind w:left="0" w:firstLine="0"/>
            </w:pPr>
            <w:r>
              <w:rPr>
                <w:sz w:val="8"/>
              </w:rPr>
              <w:t xml:space="preserve">305. A eficiência com relação à continuidade do fornecimento de que trata o inciso I do § 1o será mensurada por indicadores que considerem a frequência e a duração média das interrupções do serviço público de distribuição de energia elétrica. Por sua vez, a eficiência com relação à gestão </w:t>
            </w:r>
            <w:proofErr w:type="gramStart"/>
            <w:r>
              <w:rPr>
                <w:sz w:val="8"/>
              </w:rPr>
              <w:t>econômico- financeira</w:t>
            </w:r>
            <w:proofErr w:type="gramEnd"/>
            <w:r>
              <w:rPr>
                <w:sz w:val="8"/>
              </w:rPr>
              <w:t xml:space="preserve"> de que trata o inciso II do § 1o será mensurada por indicador que ateste a capacidade de a concessionária honrar seus compromissos econômico-financeiros de maneira sustentável.</w:t>
            </w:r>
          </w:p>
        </w:tc>
        <w:tc>
          <w:tcPr>
            <w:tcW w:w="0" w:type="auto"/>
            <w:gridSpan w:val="2"/>
            <w:vMerge/>
            <w:tcBorders>
              <w:top w:val="nil"/>
              <w:left w:val="single" w:sz="3" w:space="0" w:color="000000"/>
              <w:bottom w:val="nil"/>
              <w:right w:val="nil"/>
            </w:tcBorders>
          </w:tcPr>
          <w:p w14:paraId="5E0E266D" w14:textId="77777777" w:rsidR="00541219" w:rsidRDefault="00541219">
            <w:pPr>
              <w:spacing w:after="160"/>
              <w:ind w:left="0" w:firstLine="0"/>
            </w:pPr>
          </w:p>
        </w:tc>
      </w:tr>
      <w:tr w:rsidR="00541219" w14:paraId="4563169B"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710EEA02" w14:textId="77777777" w:rsidR="00541219" w:rsidRDefault="00000000">
            <w:pPr>
              <w:spacing w:after="0"/>
              <w:ind w:left="0" w:firstLine="0"/>
            </w:pPr>
            <w:r>
              <w:rPr>
                <w:sz w:val="8"/>
              </w:rPr>
              <w:t>306. O Critério de Eficiência com relação à Gestão Econômico-Financeira, tanto para a avaliação da prorrogação das concessões de distribuição, como para o cumprimento ordinário após a prorrogação, é a atualmente regulada pela ANEEL por meio da REN nº 948/2021.</w:t>
            </w:r>
          </w:p>
        </w:tc>
        <w:tc>
          <w:tcPr>
            <w:tcW w:w="0" w:type="auto"/>
            <w:gridSpan w:val="2"/>
            <w:vMerge/>
            <w:tcBorders>
              <w:top w:val="nil"/>
              <w:left w:val="single" w:sz="3" w:space="0" w:color="000000"/>
              <w:bottom w:val="nil"/>
              <w:right w:val="nil"/>
            </w:tcBorders>
          </w:tcPr>
          <w:p w14:paraId="64344C61" w14:textId="77777777" w:rsidR="00541219" w:rsidRDefault="00541219">
            <w:pPr>
              <w:spacing w:after="160"/>
              <w:ind w:left="0" w:firstLine="0"/>
            </w:pPr>
          </w:p>
        </w:tc>
      </w:tr>
      <w:tr w:rsidR="00541219" w14:paraId="417A36A9"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05670B55" w14:textId="77777777" w:rsidR="00541219" w:rsidRDefault="00000000">
            <w:pPr>
              <w:spacing w:after="0"/>
              <w:ind w:left="0" w:firstLine="0"/>
            </w:pPr>
            <w:r>
              <w:rPr>
                <w:sz w:val="8"/>
              </w:rPr>
              <w:t xml:space="preserve">307. Conforme §§ 7o e 8o do art. 2o do Decreto nº 12.068/2024, o Critério Econômico-Financeiro será apurado em bases anuais a partir de 2021, </w:t>
            </w:r>
            <w:proofErr w:type="spellStart"/>
            <w:r>
              <w:rPr>
                <w:sz w:val="8"/>
              </w:rPr>
              <w:t>limitandose</w:t>
            </w:r>
            <w:proofErr w:type="spellEnd"/>
            <w:r>
              <w:rPr>
                <w:sz w:val="8"/>
              </w:rPr>
              <w:t xml:space="preserve"> a 5 anos de mensuração e deverá considerar reposicionamentos tarifários ou de parâmetros de regulação econômica:</w:t>
            </w:r>
          </w:p>
        </w:tc>
        <w:tc>
          <w:tcPr>
            <w:tcW w:w="0" w:type="auto"/>
            <w:gridSpan w:val="2"/>
            <w:vMerge/>
            <w:tcBorders>
              <w:top w:val="nil"/>
              <w:left w:val="single" w:sz="3" w:space="0" w:color="000000"/>
              <w:bottom w:val="nil"/>
              <w:right w:val="nil"/>
            </w:tcBorders>
          </w:tcPr>
          <w:p w14:paraId="5D2A793E" w14:textId="77777777" w:rsidR="00541219" w:rsidRDefault="00541219">
            <w:pPr>
              <w:spacing w:after="160"/>
              <w:ind w:left="0" w:firstLine="0"/>
            </w:pPr>
          </w:p>
        </w:tc>
      </w:tr>
      <w:tr w:rsidR="00541219" w14:paraId="4E95E1B3"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088FC3E5" w14:textId="77777777" w:rsidR="00541219" w:rsidRDefault="00000000">
            <w:pPr>
              <w:spacing w:after="0"/>
              <w:ind w:left="497" w:firstLine="0"/>
            </w:pPr>
            <w:r>
              <w:rPr>
                <w:sz w:val="8"/>
              </w:rPr>
              <w:t xml:space="preserve">     § 7o O período de apuração de que trata o § 5o será composto pelos cinco anos anteriores ao da recomendação de </w:t>
            </w:r>
            <w:proofErr w:type="gramStart"/>
            <w:r>
              <w:rPr>
                <w:sz w:val="8"/>
              </w:rPr>
              <w:t>prorrogação  de</w:t>
            </w:r>
            <w:proofErr w:type="gramEnd"/>
            <w:r>
              <w:rPr>
                <w:sz w:val="8"/>
              </w:rPr>
              <w:t xml:space="preserve"> que trata o art. 8o, excluídos os anos anteriores a 2021 para o critério de eficiência com relação à gestão econômico-financeira de que trata o § 3o.</w:t>
            </w:r>
          </w:p>
        </w:tc>
        <w:tc>
          <w:tcPr>
            <w:tcW w:w="0" w:type="auto"/>
            <w:gridSpan w:val="2"/>
            <w:vMerge/>
            <w:tcBorders>
              <w:top w:val="nil"/>
              <w:left w:val="single" w:sz="3" w:space="0" w:color="000000"/>
              <w:bottom w:val="nil"/>
              <w:right w:val="nil"/>
            </w:tcBorders>
          </w:tcPr>
          <w:p w14:paraId="0E5ADB25" w14:textId="77777777" w:rsidR="00541219" w:rsidRDefault="00541219">
            <w:pPr>
              <w:spacing w:after="160"/>
              <w:ind w:left="0" w:firstLine="0"/>
            </w:pPr>
          </w:p>
        </w:tc>
      </w:tr>
      <w:tr w:rsidR="00541219" w14:paraId="0B5D8EB9"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67005FE6" w14:textId="77777777" w:rsidR="00541219" w:rsidRDefault="00000000">
            <w:pPr>
              <w:spacing w:after="0"/>
              <w:ind w:left="497" w:right="9" w:firstLine="0"/>
              <w:jc w:val="both"/>
            </w:pPr>
            <w:r>
              <w:rPr>
                <w:sz w:val="8"/>
              </w:rPr>
              <w:t xml:space="preserve">     § 8o Excepcionalmente, quando houver reposicionamento tarifário ou de parâmetros de regulação econômica, a Aneel deverá considerar o impacto desse reposicionamento no cálculo do indicador de que trata o § 3o.</w:t>
            </w:r>
          </w:p>
        </w:tc>
        <w:tc>
          <w:tcPr>
            <w:tcW w:w="0" w:type="auto"/>
            <w:gridSpan w:val="2"/>
            <w:vMerge/>
            <w:tcBorders>
              <w:top w:val="nil"/>
              <w:left w:val="single" w:sz="3" w:space="0" w:color="000000"/>
              <w:bottom w:val="nil"/>
              <w:right w:val="nil"/>
            </w:tcBorders>
          </w:tcPr>
          <w:p w14:paraId="146BEC86" w14:textId="77777777" w:rsidR="00541219" w:rsidRDefault="00541219">
            <w:pPr>
              <w:spacing w:after="160"/>
              <w:ind w:left="0" w:firstLine="0"/>
            </w:pPr>
          </w:p>
        </w:tc>
      </w:tr>
      <w:tr w:rsidR="00541219" w14:paraId="076FEA76"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1F3911F8" w14:textId="77777777" w:rsidR="00541219" w:rsidRDefault="00000000">
            <w:pPr>
              <w:spacing w:after="2"/>
              <w:ind w:left="0" w:firstLine="0"/>
              <w:jc w:val="both"/>
            </w:pPr>
            <w:r>
              <w:rPr>
                <w:sz w:val="8"/>
              </w:rPr>
              <w:t xml:space="preserve">308. Na existência de processos administrativos de caducidade da concessão de distribuição de energia elétrica, os §§ 9o a 11o do art. 2o do Decreto nº </w:t>
            </w:r>
          </w:p>
          <w:p w14:paraId="6B732ADC" w14:textId="77777777" w:rsidR="00541219" w:rsidRDefault="00000000">
            <w:pPr>
              <w:spacing w:after="0"/>
              <w:ind w:left="0" w:right="10" w:firstLine="0"/>
            </w:pPr>
            <w:r>
              <w:rPr>
                <w:sz w:val="8"/>
              </w:rPr>
              <w:t>12.068/2024 dispõem pela suspensão até a decisão definitiva no âmbito da ANEEL, bem como em função dos resultados decorrentes – eventual declaração de caducidade em desfavor da concessionária:</w:t>
            </w:r>
          </w:p>
        </w:tc>
        <w:tc>
          <w:tcPr>
            <w:tcW w:w="0" w:type="auto"/>
            <w:gridSpan w:val="2"/>
            <w:vMerge/>
            <w:tcBorders>
              <w:top w:val="nil"/>
              <w:left w:val="single" w:sz="3" w:space="0" w:color="000000"/>
              <w:bottom w:val="nil"/>
              <w:right w:val="nil"/>
            </w:tcBorders>
          </w:tcPr>
          <w:p w14:paraId="3C403CF9" w14:textId="77777777" w:rsidR="00541219" w:rsidRDefault="00541219">
            <w:pPr>
              <w:spacing w:after="160"/>
              <w:ind w:left="0" w:firstLine="0"/>
            </w:pPr>
          </w:p>
        </w:tc>
      </w:tr>
      <w:tr w:rsidR="00541219" w14:paraId="7B52EB1E"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6B8267B6" w14:textId="77777777" w:rsidR="00541219" w:rsidRDefault="00000000">
            <w:pPr>
              <w:spacing w:after="0"/>
              <w:ind w:left="497" w:firstLine="0"/>
            </w:pPr>
            <w:r>
              <w:rPr>
                <w:sz w:val="8"/>
              </w:rPr>
              <w:t xml:space="preserve">     § 9o Na hipótese de existir processo administrativo de caducidade da concessão de distribuição de energia elétrica, instaurado pela Diretoria da Aneel antes ou depois do requerimento de que trata o art. 7o, o encaminhamento da recomendação a que se refere o art. 8o ficará suspenso até a decisão definitiva acerca da correspondente apuração do processo.</w:t>
            </w:r>
          </w:p>
        </w:tc>
        <w:tc>
          <w:tcPr>
            <w:tcW w:w="0" w:type="auto"/>
            <w:gridSpan w:val="2"/>
            <w:vMerge/>
            <w:tcBorders>
              <w:top w:val="nil"/>
              <w:left w:val="single" w:sz="3" w:space="0" w:color="000000"/>
              <w:bottom w:val="nil"/>
              <w:right w:val="nil"/>
            </w:tcBorders>
          </w:tcPr>
          <w:p w14:paraId="04D1AFD3" w14:textId="77777777" w:rsidR="00541219" w:rsidRDefault="00541219">
            <w:pPr>
              <w:spacing w:after="160"/>
              <w:ind w:left="0" w:firstLine="0"/>
            </w:pPr>
          </w:p>
        </w:tc>
      </w:tr>
      <w:tr w:rsidR="00541219" w14:paraId="6FDF4D34"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3712EA51" w14:textId="77777777" w:rsidR="00541219" w:rsidRDefault="00000000">
            <w:pPr>
              <w:spacing w:after="0"/>
              <w:ind w:left="497" w:right="1" w:firstLine="0"/>
            </w:pPr>
            <w:r>
              <w:rPr>
                <w:sz w:val="8"/>
              </w:rPr>
              <w:t xml:space="preserve">     § 10. Na hipótese de haver decisão definitiva no processo administrativo de caducidade da qual não resulte declaração de caducidade em desfavor da concessionária, será dado prosseguimento à análise do requerimento de que trata o art. 7o de acordo com o estabelecido neste Decreto.</w:t>
            </w:r>
          </w:p>
        </w:tc>
        <w:tc>
          <w:tcPr>
            <w:tcW w:w="0" w:type="auto"/>
            <w:gridSpan w:val="2"/>
            <w:vMerge/>
            <w:tcBorders>
              <w:top w:val="nil"/>
              <w:left w:val="single" w:sz="3" w:space="0" w:color="000000"/>
              <w:bottom w:val="nil"/>
              <w:right w:val="nil"/>
            </w:tcBorders>
          </w:tcPr>
          <w:p w14:paraId="6BB3E82F" w14:textId="77777777" w:rsidR="00541219" w:rsidRDefault="00541219">
            <w:pPr>
              <w:spacing w:after="160"/>
              <w:ind w:left="0" w:firstLine="0"/>
            </w:pPr>
          </w:p>
        </w:tc>
      </w:tr>
      <w:tr w:rsidR="00541219" w14:paraId="4788A737"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64A1C717" w14:textId="77777777" w:rsidR="00541219" w:rsidRDefault="00000000">
            <w:pPr>
              <w:spacing w:after="0"/>
              <w:ind w:left="497" w:firstLine="0"/>
              <w:jc w:val="both"/>
            </w:pPr>
            <w:r>
              <w:rPr>
                <w:sz w:val="8"/>
              </w:rPr>
              <w:t xml:space="preserve">     § 11. Na hipótese de sobrevir, a qualquer tempo, declaração de caducidade da concessão, o requerimento de prorrogação da concessão será indeferido.</w:t>
            </w:r>
          </w:p>
        </w:tc>
        <w:tc>
          <w:tcPr>
            <w:tcW w:w="0" w:type="auto"/>
            <w:gridSpan w:val="2"/>
            <w:vMerge/>
            <w:tcBorders>
              <w:top w:val="nil"/>
              <w:left w:val="single" w:sz="3" w:space="0" w:color="000000"/>
              <w:bottom w:val="nil"/>
              <w:right w:val="nil"/>
            </w:tcBorders>
          </w:tcPr>
          <w:p w14:paraId="2D5F994B" w14:textId="77777777" w:rsidR="00541219" w:rsidRDefault="00541219">
            <w:pPr>
              <w:spacing w:after="160"/>
              <w:ind w:left="0" w:firstLine="0"/>
            </w:pPr>
          </w:p>
        </w:tc>
      </w:tr>
      <w:tr w:rsidR="00541219" w14:paraId="0A0B6ADB"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6083C212" w14:textId="77777777" w:rsidR="00541219" w:rsidRDefault="00000000">
            <w:pPr>
              <w:spacing w:after="0"/>
              <w:ind w:left="0" w:firstLine="0"/>
            </w:pPr>
            <w:r>
              <w:rPr>
                <w:sz w:val="8"/>
              </w:rPr>
              <w:t>309. Por sua vez, o art. 3o Decreto nº 12.068/2024 dispõe sobre a possibilidade do descumprimento do Critério Econômico-Financeiro vir a ser cumprido por meio de aporte de capital para a prorrogação contratual:</w:t>
            </w:r>
          </w:p>
        </w:tc>
        <w:tc>
          <w:tcPr>
            <w:tcW w:w="0" w:type="auto"/>
            <w:gridSpan w:val="2"/>
            <w:vMerge/>
            <w:tcBorders>
              <w:top w:val="nil"/>
              <w:left w:val="single" w:sz="3" w:space="0" w:color="000000"/>
              <w:bottom w:val="nil"/>
              <w:right w:val="nil"/>
            </w:tcBorders>
          </w:tcPr>
          <w:p w14:paraId="39B90541" w14:textId="77777777" w:rsidR="00541219" w:rsidRDefault="00541219">
            <w:pPr>
              <w:spacing w:after="160"/>
              <w:ind w:left="0" w:firstLine="0"/>
            </w:pPr>
          </w:p>
        </w:tc>
      </w:tr>
      <w:tr w:rsidR="00541219" w14:paraId="6326EC6D"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730EF7AC" w14:textId="77777777" w:rsidR="00541219" w:rsidRDefault="00000000">
            <w:pPr>
              <w:spacing w:after="0"/>
              <w:ind w:left="497" w:firstLine="0"/>
            </w:pPr>
            <w:r>
              <w:rPr>
                <w:sz w:val="8"/>
              </w:rPr>
              <w:t xml:space="preserve">     Art. 3o Como alternativa ao não cumprimento das exigências para prorrogação contratual, estabelecidas no art. 2o, a concessionária poderá promover aporte de capital necessário à sustentabilidade econômica e financeira da concessão, na forma e no montante a serem estabelecidos pela Aneel, no caso de não atendimento do critério de eficiência com relação à gestão econômico-financeira.</w:t>
            </w:r>
          </w:p>
        </w:tc>
        <w:tc>
          <w:tcPr>
            <w:tcW w:w="0" w:type="auto"/>
            <w:gridSpan w:val="2"/>
            <w:vMerge/>
            <w:tcBorders>
              <w:top w:val="nil"/>
              <w:left w:val="single" w:sz="3" w:space="0" w:color="000000"/>
              <w:bottom w:val="nil"/>
              <w:right w:val="nil"/>
            </w:tcBorders>
          </w:tcPr>
          <w:p w14:paraId="20407075" w14:textId="77777777" w:rsidR="00541219" w:rsidRDefault="00541219">
            <w:pPr>
              <w:spacing w:after="160"/>
              <w:ind w:left="0" w:firstLine="0"/>
            </w:pPr>
          </w:p>
        </w:tc>
      </w:tr>
      <w:tr w:rsidR="00541219" w14:paraId="05F6D0B9"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67490D14" w14:textId="77777777" w:rsidR="00541219" w:rsidRDefault="00000000">
            <w:pPr>
              <w:spacing w:after="0"/>
              <w:ind w:left="497" w:firstLine="0"/>
            </w:pPr>
            <w:r>
              <w:rPr>
                <w:sz w:val="8"/>
              </w:rPr>
              <w:t xml:space="preserve">     § 1o Na hipótese de que trata o caput, o aporte de capital deverá ser realizado no prazo de noventa dias, contado da celebração do termo aditivo ao contrato de concessão de que trata o art. 9o, § 2o.</w:t>
            </w:r>
          </w:p>
        </w:tc>
        <w:tc>
          <w:tcPr>
            <w:tcW w:w="0" w:type="auto"/>
            <w:gridSpan w:val="2"/>
            <w:vMerge/>
            <w:tcBorders>
              <w:top w:val="nil"/>
              <w:left w:val="single" w:sz="3" w:space="0" w:color="000000"/>
              <w:bottom w:val="nil"/>
              <w:right w:val="nil"/>
            </w:tcBorders>
          </w:tcPr>
          <w:p w14:paraId="78879F4A" w14:textId="77777777" w:rsidR="00541219" w:rsidRDefault="00541219">
            <w:pPr>
              <w:spacing w:after="160"/>
              <w:ind w:left="0" w:firstLine="0"/>
            </w:pPr>
          </w:p>
        </w:tc>
      </w:tr>
      <w:tr w:rsidR="00541219" w14:paraId="56CC5877"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68B1FFFA" w14:textId="77777777" w:rsidR="00541219" w:rsidRDefault="00000000">
            <w:pPr>
              <w:spacing w:after="0"/>
              <w:ind w:left="497" w:firstLine="0"/>
            </w:pPr>
            <w:r>
              <w:rPr>
                <w:sz w:val="8"/>
              </w:rPr>
              <w:t xml:space="preserve">     § 2o A não efetivação do aporte de capital no prazo estabelecido no § 1o:</w:t>
            </w:r>
          </w:p>
        </w:tc>
        <w:tc>
          <w:tcPr>
            <w:tcW w:w="0" w:type="auto"/>
            <w:gridSpan w:val="2"/>
            <w:vMerge/>
            <w:tcBorders>
              <w:top w:val="nil"/>
              <w:left w:val="single" w:sz="3" w:space="0" w:color="000000"/>
              <w:bottom w:val="nil"/>
              <w:right w:val="nil"/>
            </w:tcBorders>
          </w:tcPr>
          <w:p w14:paraId="0FB6118F" w14:textId="77777777" w:rsidR="00541219" w:rsidRDefault="00541219">
            <w:pPr>
              <w:spacing w:after="160"/>
              <w:ind w:left="0" w:firstLine="0"/>
            </w:pPr>
          </w:p>
        </w:tc>
      </w:tr>
      <w:tr w:rsidR="00541219" w14:paraId="1F38E6FA" w14:textId="77777777">
        <w:trPr>
          <w:trHeight w:val="115"/>
        </w:trPr>
        <w:tc>
          <w:tcPr>
            <w:tcW w:w="5344" w:type="dxa"/>
            <w:tcBorders>
              <w:top w:val="single" w:sz="3" w:space="0" w:color="000000"/>
              <w:left w:val="single" w:sz="3" w:space="0" w:color="000000"/>
              <w:bottom w:val="single" w:sz="3" w:space="0" w:color="000000"/>
              <w:right w:val="single" w:sz="3" w:space="0" w:color="000000"/>
            </w:tcBorders>
          </w:tcPr>
          <w:p w14:paraId="786AABF0" w14:textId="77777777" w:rsidR="00541219" w:rsidRDefault="00000000">
            <w:pPr>
              <w:spacing w:after="0"/>
              <w:ind w:left="497" w:firstLine="0"/>
            </w:pPr>
            <w:r>
              <w:rPr>
                <w:sz w:val="8"/>
              </w:rPr>
              <w:t xml:space="preserve">          I - </w:t>
            </w:r>
            <w:proofErr w:type="gramStart"/>
            <w:r>
              <w:rPr>
                <w:sz w:val="8"/>
              </w:rPr>
              <w:t>tornará</w:t>
            </w:r>
            <w:proofErr w:type="gramEnd"/>
            <w:r>
              <w:rPr>
                <w:sz w:val="8"/>
              </w:rPr>
              <w:t xml:space="preserve"> sem efeito o termo aditivo ao contrato de concessão de que trata o art. 9o, § 2o; e</w:t>
            </w:r>
          </w:p>
        </w:tc>
        <w:tc>
          <w:tcPr>
            <w:tcW w:w="0" w:type="auto"/>
            <w:gridSpan w:val="2"/>
            <w:vMerge/>
            <w:tcBorders>
              <w:top w:val="nil"/>
              <w:left w:val="single" w:sz="3" w:space="0" w:color="000000"/>
              <w:bottom w:val="nil"/>
              <w:right w:val="nil"/>
            </w:tcBorders>
          </w:tcPr>
          <w:p w14:paraId="2F5306CE" w14:textId="77777777" w:rsidR="00541219" w:rsidRDefault="00541219">
            <w:pPr>
              <w:spacing w:after="160"/>
              <w:ind w:left="0" w:firstLine="0"/>
            </w:pPr>
          </w:p>
        </w:tc>
      </w:tr>
      <w:tr w:rsidR="00541219" w14:paraId="304925CB"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6501CC00" w14:textId="77777777" w:rsidR="00541219" w:rsidRDefault="00000000">
            <w:pPr>
              <w:spacing w:after="0"/>
              <w:ind w:left="497" w:firstLine="0"/>
            </w:pPr>
            <w:r>
              <w:rPr>
                <w:sz w:val="8"/>
              </w:rPr>
              <w:t xml:space="preserve">          II - </w:t>
            </w:r>
            <w:proofErr w:type="gramStart"/>
            <w:r>
              <w:rPr>
                <w:sz w:val="8"/>
              </w:rPr>
              <w:t>implicará</w:t>
            </w:r>
            <w:proofErr w:type="gramEnd"/>
            <w:r>
              <w:rPr>
                <w:sz w:val="8"/>
              </w:rPr>
              <w:t xml:space="preserve"> a concordância, por parte da concessionária, com a prorrogação da concessão nas condições vigentes quando da apresentação do requerimento de que trata o art. 7o, por até vinte e quatro meses, contados do respectivo termo contratual, a critério do Poder concedente, para a realização da licitação de que trata o art. 13.</w:t>
            </w:r>
          </w:p>
        </w:tc>
        <w:tc>
          <w:tcPr>
            <w:tcW w:w="0" w:type="auto"/>
            <w:gridSpan w:val="2"/>
            <w:vMerge/>
            <w:tcBorders>
              <w:top w:val="nil"/>
              <w:left w:val="single" w:sz="3" w:space="0" w:color="000000"/>
              <w:bottom w:val="nil"/>
              <w:right w:val="nil"/>
            </w:tcBorders>
          </w:tcPr>
          <w:p w14:paraId="10FC0B46" w14:textId="77777777" w:rsidR="00541219" w:rsidRDefault="00541219">
            <w:pPr>
              <w:spacing w:after="160"/>
              <w:ind w:left="0" w:firstLine="0"/>
            </w:pPr>
          </w:p>
        </w:tc>
      </w:tr>
    </w:tbl>
    <w:p w14:paraId="013B9A6B" w14:textId="77777777" w:rsidR="00541219" w:rsidRDefault="00541219">
      <w:pPr>
        <w:spacing w:after="0"/>
        <w:ind w:left="-1440" w:right="8609" w:firstLine="0"/>
      </w:pPr>
    </w:p>
    <w:tbl>
      <w:tblPr>
        <w:tblStyle w:val="TableGrid"/>
        <w:tblW w:w="10264" w:type="dxa"/>
        <w:tblInd w:w="-688" w:type="dxa"/>
        <w:tblCellMar>
          <w:top w:w="0" w:type="dxa"/>
          <w:left w:w="19" w:type="dxa"/>
          <w:bottom w:w="0" w:type="dxa"/>
          <w:right w:w="29" w:type="dxa"/>
        </w:tblCellMar>
        <w:tblLook w:val="04A0" w:firstRow="1" w:lastRow="0" w:firstColumn="1" w:lastColumn="0" w:noHBand="0" w:noVBand="1"/>
      </w:tblPr>
      <w:tblGrid>
        <w:gridCol w:w="5344"/>
        <w:gridCol w:w="1229"/>
        <w:gridCol w:w="3691"/>
      </w:tblGrid>
      <w:tr w:rsidR="00541219" w14:paraId="14021FC3" w14:textId="77777777">
        <w:trPr>
          <w:trHeight w:val="150"/>
        </w:trPr>
        <w:tc>
          <w:tcPr>
            <w:tcW w:w="10264" w:type="dxa"/>
            <w:gridSpan w:val="3"/>
            <w:tcBorders>
              <w:top w:val="single" w:sz="6" w:space="0" w:color="000000"/>
              <w:left w:val="single" w:sz="6" w:space="0" w:color="000000"/>
              <w:bottom w:val="single" w:sz="3" w:space="0" w:color="000000"/>
              <w:right w:val="single" w:sz="6" w:space="0" w:color="000000"/>
            </w:tcBorders>
          </w:tcPr>
          <w:p w14:paraId="669F9ACA" w14:textId="77777777" w:rsidR="00541219" w:rsidRDefault="00000000">
            <w:pPr>
              <w:spacing w:after="0"/>
              <w:ind w:left="25" w:firstLine="0"/>
              <w:jc w:val="center"/>
            </w:pPr>
            <w:r>
              <w:rPr>
                <w:color w:val="0000FF"/>
                <w:sz w:val="12"/>
              </w:rPr>
              <w:t>CONTRIBUIÇÃO REFERENTE À CONSULTA PÚBLICA Nº 27/2024</w:t>
            </w:r>
          </w:p>
        </w:tc>
      </w:tr>
      <w:tr w:rsidR="00541219" w14:paraId="1BC632A2" w14:textId="77777777">
        <w:trPr>
          <w:trHeight w:val="149"/>
        </w:trPr>
        <w:tc>
          <w:tcPr>
            <w:tcW w:w="10264" w:type="dxa"/>
            <w:gridSpan w:val="3"/>
            <w:tcBorders>
              <w:top w:val="single" w:sz="3" w:space="0" w:color="000000"/>
              <w:left w:val="single" w:sz="6" w:space="0" w:color="000000"/>
              <w:bottom w:val="single" w:sz="3" w:space="0" w:color="000000"/>
              <w:right w:val="single" w:sz="6" w:space="0" w:color="000000"/>
            </w:tcBorders>
          </w:tcPr>
          <w:p w14:paraId="30893BC1" w14:textId="77777777" w:rsidR="00541219" w:rsidRDefault="00000000">
            <w:pPr>
              <w:spacing w:after="0"/>
              <w:ind w:left="13" w:firstLine="0"/>
              <w:jc w:val="center"/>
            </w:pPr>
            <w:r>
              <w:rPr>
                <w:color w:val="0000FF"/>
                <w:sz w:val="12"/>
              </w:rPr>
              <w:t>NOME DA INSTITUIÇÃO: CONCEN Conselho de Consumidores da Energisa Mato Grosso do Sul</w:t>
            </w:r>
          </w:p>
        </w:tc>
      </w:tr>
      <w:tr w:rsidR="00541219" w14:paraId="651171D7" w14:textId="77777777">
        <w:trPr>
          <w:trHeight w:val="149"/>
        </w:trPr>
        <w:tc>
          <w:tcPr>
            <w:tcW w:w="10264" w:type="dxa"/>
            <w:gridSpan w:val="3"/>
            <w:tcBorders>
              <w:top w:val="single" w:sz="3" w:space="0" w:color="000000"/>
              <w:left w:val="single" w:sz="6" w:space="0" w:color="000000"/>
              <w:bottom w:val="single" w:sz="3" w:space="0" w:color="000000"/>
              <w:right w:val="single" w:sz="6" w:space="0" w:color="000000"/>
            </w:tcBorders>
          </w:tcPr>
          <w:p w14:paraId="1D912A53" w14:textId="77777777" w:rsidR="00541219" w:rsidRDefault="00000000">
            <w:pPr>
              <w:tabs>
                <w:tab w:val="center" w:pos="626"/>
                <w:tab w:val="center" w:pos="5122"/>
              </w:tabs>
              <w:spacing w:after="0"/>
              <w:ind w:left="0" w:firstLine="0"/>
            </w:pPr>
            <w:r>
              <w:rPr>
                <w:rFonts w:ascii="Calibri" w:eastAsia="Calibri" w:hAnsi="Calibri" w:cs="Calibri"/>
                <w:sz w:val="22"/>
              </w:rPr>
              <w:tab/>
            </w:r>
            <w:r>
              <w:rPr>
                <w:noProof/>
              </w:rPr>
              <w:drawing>
                <wp:inline distT="0" distB="0" distL="0" distR="0" wp14:anchorId="21C42995" wp14:editId="7D7BF2E5">
                  <wp:extent cx="585216" cy="362712"/>
                  <wp:effectExtent l="0" t="0" r="0" b="0"/>
                  <wp:docPr id="4719" name="Picture 4719"/>
                  <wp:cNvGraphicFramePr/>
                  <a:graphic xmlns:a="http://schemas.openxmlformats.org/drawingml/2006/main">
                    <a:graphicData uri="http://schemas.openxmlformats.org/drawingml/2006/picture">
                      <pic:pic xmlns:pic="http://schemas.openxmlformats.org/drawingml/2006/picture">
                        <pic:nvPicPr>
                          <pic:cNvPr id="4719" name="Picture 4719"/>
                          <pic:cNvPicPr/>
                        </pic:nvPicPr>
                        <pic:blipFill>
                          <a:blip r:embed="rId5"/>
                          <a:stretch>
                            <a:fillRect/>
                          </a:stretch>
                        </pic:blipFill>
                        <pic:spPr>
                          <a:xfrm>
                            <a:off x="0" y="0"/>
                            <a:ext cx="585216" cy="362712"/>
                          </a:xfrm>
                          <a:prstGeom prst="rect">
                            <a:avLst/>
                          </a:prstGeom>
                        </pic:spPr>
                      </pic:pic>
                    </a:graphicData>
                  </a:graphic>
                </wp:inline>
              </w:drawing>
            </w:r>
            <w:r>
              <w:rPr>
                <w:color w:val="0000FF"/>
                <w:sz w:val="12"/>
              </w:rPr>
              <w:tab/>
              <w:t>AGÊNCIA NACIONAL DE ENERGIA ELÉTRICA – ANEEL</w:t>
            </w:r>
          </w:p>
        </w:tc>
      </w:tr>
      <w:tr w:rsidR="00541219" w14:paraId="3779A177" w14:textId="77777777">
        <w:trPr>
          <w:trHeight w:val="178"/>
        </w:trPr>
        <w:tc>
          <w:tcPr>
            <w:tcW w:w="10264" w:type="dxa"/>
            <w:gridSpan w:val="3"/>
            <w:tcBorders>
              <w:top w:val="single" w:sz="3" w:space="0" w:color="000000"/>
              <w:left w:val="single" w:sz="6" w:space="0" w:color="000000"/>
              <w:bottom w:val="single" w:sz="3" w:space="0" w:color="000000"/>
              <w:right w:val="single" w:sz="6" w:space="0" w:color="000000"/>
            </w:tcBorders>
          </w:tcPr>
          <w:p w14:paraId="69492E14" w14:textId="77777777" w:rsidR="00541219" w:rsidRDefault="00000000">
            <w:pPr>
              <w:spacing w:after="0"/>
              <w:ind w:left="23" w:firstLine="0"/>
              <w:jc w:val="center"/>
            </w:pPr>
            <w:r>
              <w:rPr>
                <w:color w:val="0000FF"/>
              </w:rPr>
              <w:t>NOTA TÉCNICA nº 1.056/2024-SCE-SFF-SFT-SMA-STE-STD-STR/ANEEL de 09 de outubro de 2024.</w:t>
            </w:r>
          </w:p>
        </w:tc>
      </w:tr>
      <w:tr w:rsidR="00541219" w14:paraId="78752F48" w14:textId="77777777">
        <w:trPr>
          <w:trHeight w:val="194"/>
        </w:trPr>
        <w:tc>
          <w:tcPr>
            <w:tcW w:w="10264" w:type="dxa"/>
            <w:gridSpan w:val="3"/>
            <w:tcBorders>
              <w:top w:val="single" w:sz="3" w:space="0" w:color="000000"/>
              <w:left w:val="single" w:sz="6" w:space="0" w:color="000000"/>
              <w:bottom w:val="single" w:sz="3" w:space="0" w:color="000000"/>
              <w:right w:val="single" w:sz="6" w:space="0" w:color="000000"/>
            </w:tcBorders>
          </w:tcPr>
          <w:p w14:paraId="503410CC" w14:textId="77777777" w:rsidR="00541219" w:rsidRDefault="00000000">
            <w:pPr>
              <w:spacing w:after="0"/>
              <w:ind w:left="10" w:firstLine="0"/>
              <w:jc w:val="center"/>
            </w:pPr>
            <w:r>
              <w:rPr>
                <w:color w:val="0000FF"/>
              </w:rPr>
              <w:t xml:space="preserve">                                                               EMENTA: Obter subsídios para o aprimoramento da minuta de termo aditivo ao contrato de concessão de distribuição de energia elétrica com vistas à prorrogação das concessões.</w:t>
            </w:r>
          </w:p>
        </w:tc>
      </w:tr>
      <w:tr w:rsidR="00541219" w14:paraId="23F41E39" w14:textId="77777777">
        <w:trPr>
          <w:trHeight w:val="132"/>
        </w:trPr>
        <w:tc>
          <w:tcPr>
            <w:tcW w:w="10264" w:type="dxa"/>
            <w:gridSpan w:val="3"/>
            <w:tcBorders>
              <w:top w:val="single" w:sz="3" w:space="0" w:color="000000"/>
              <w:left w:val="single" w:sz="6" w:space="0" w:color="000000"/>
              <w:bottom w:val="single" w:sz="3" w:space="0" w:color="000000"/>
              <w:right w:val="single" w:sz="6" w:space="0" w:color="000000"/>
            </w:tcBorders>
          </w:tcPr>
          <w:p w14:paraId="42A3E0CE" w14:textId="77777777" w:rsidR="00541219" w:rsidRDefault="00000000">
            <w:pPr>
              <w:spacing w:after="0"/>
              <w:ind w:left="10" w:firstLine="0"/>
              <w:jc w:val="center"/>
            </w:pPr>
            <w:r>
              <w:rPr>
                <w:color w:val="0000FF"/>
                <w:sz w:val="11"/>
              </w:rPr>
              <w:t>CONTRIBUIÇÕES RECEBIDAS</w:t>
            </w:r>
          </w:p>
        </w:tc>
      </w:tr>
      <w:tr w:rsidR="00541219" w14:paraId="7121419D" w14:textId="77777777">
        <w:trPr>
          <w:trHeight w:val="275"/>
        </w:trPr>
        <w:tc>
          <w:tcPr>
            <w:tcW w:w="10264" w:type="dxa"/>
            <w:gridSpan w:val="3"/>
            <w:tcBorders>
              <w:top w:val="single" w:sz="3" w:space="0" w:color="000000"/>
              <w:left w:val="single" w:sz="6" w:space="0" w:color="000000"/>
              <w:bottom w:val="single" w:sz="6" w:space="0" w:color="000000"/>
              <w:right w:val="single" w:sz="6" w:space="0" w:color="000000"/>
            </w:tcBorders>
          </w:tcPr>
          <w:p w14:paraId="67382CF3" w14:textId="77777777" w:rsidR="00541219" w:rsidRDefault="00000000">
            <w:pPr>
              <w:spacing w:after="0"/>
              <w:ind w:left="0" w:firstLine="0"/>
            </w:pPr>
            <w:r>
              <w:t>IMPORTANTE: Os comentários e sugestões referentes às contribuições deverão ser fundamentados e justificados, mencionando-se os artigos, parágrafos e incisos a que se referem, devendo ser acompanhados de textos alternativos e substitutivos quando envolverem sugestões de inclusão ou alteração, parcial ou total, de qualquer dispositivo.</w:t>
            </w:r>
          </w:p>
        </w:tc>
      </w:tr>
      <w:tr w:rsidR="00541219" w14:paraId="2123605A" w14:textId="77777777">
        <w:trPr>
          <w:trHeight w:val="213"/>
        </w:trPr>
        <w:tc>
          <w:tcPr>
            <w:tcW w:w="5344" w:type="dxa"/>
            <w:tcBorders>
              <w:top w:val="single" w:sz="6" w:space="0" w:color="000000"/>
              <w:left w:val="single" w:sz="6" w:space="0" w:color="000000"/>
              <w:bottom w:val="double" w:sz="4" w:space="0" w:color="000000"/>
              <w:right w:val="single" w:sz="6" w:space="0" w:color="000000"/>
            </w:tcBorders>
            <w:shd w:val="clear" w:color="auto" w:fill="FF0000"/>
          </w:tcPr>
          <w:p w14:paraId="23DF0DFC" w14:textId="77777777" w:rsidR="00541219" w:rsidRDefault="00000000">
            <w:pPr>
              <w:spacing w:after="0"/>
              <w:ind w:left="12" w:firstLine="0"/>
              <w:jc w:val="center"/>
            </w:pPr>
            <w:r>
              <w:rPr>
                <w:color w:val="FFFFFF"/>
                <w:sz w:val="11"/>
              </w:rPr>
              <w:t xml:space="preserve">TEXTO/ANEEL </w:t>
            </w:r>
          </w:p>
        </w:tc>
        <w:tc>
          <w:tcPr>
            <w:tcW w:w="1229" w:type="dxa"/>
            <w:tcBorders>
              <w:top w:val="single" w:sz="6" w:space="0" w:color="000000"/>
              <w:left w:val="single" w:sz="6" w:space="0" w:color="000000"/>
              <w:bottom w:val="single" w:sz="6" w:space="0" w:color="000000"/>
              <w:right w:val="single" w:sz="6" w:space="0" w:color="000000"/>
            </w:tcBorders>
            <w:shd w:val="clear" w:color="auto" w:fill="FF0000"/>
          </w:tcPr>
          <w:p w14:paraId="3F285064" w14:textId="77777777" w:rsidR="00541219" w:rsidRDefault="00000000">
            <w:pPr>
              <w:spacing w:after="0"/>
              <w:ind w:left="70" w:firstLine="0"/>
            </w:pPr>
            <w:r>
              <w:rPr>
                <w:color w:val="FFFFFF"/>
                <w:sz w:val="11"/>
              </w:rPr>
              <w:t>TEXTO/INSTITUIÇÃO</w:t>
            </w:r>
          </w:p>
        </w:tc>
        <w:tc>
          <w:tcPr>
            <w:tcW w:w="3691" w:type="dxa"/>
            <w:tcBorders>
              <w:top w:val="single" w:sz="6" w:space="0" w:color="000000"/>
              <w:left w:val="single" w:sz="6" w:space="0" w:color="000000"/>
              <w:bottom w:val="single" w:sz="6" w:space="0" w:color="000000"/>
              <w:right w:val="single" w:sz="6" w:space="0" w:color="000000"/>
            </w:tcBorders>
            <w:shd w:val="clear" w:color="auto" w:fill="FF0000"/>
          </w:tcPr>
          <w:p w14:paraId="08A0EFFD" w14:textId="77777777" w:rsidR="00541219" w:rsidRDefault="00000000">
            <w:pPr>
              <w:spacing w:after="0"/>
              <w:ind w:left="30" w:firstLine="0"/>
              <w:jc w:val="center"/>
            </w:pPr>
            <w:r>
              <w:rPr>
                <w:color w:val="FFFFFF"/>
                <w:sz w:val="11"/>
              </w:rPr>
              <w:t>JUSTIFICATIVA/INSTITUIÇÃO</w:t>
            </w:r>
          </w:p>
        </w:tc>
      </w:tr>
      <w:tr w:rsidR="00541219" w14:paraId="2F79BA25" w14:textId="77777777">
        <w:trPr>
          <w:trHeight w:val="292"/>
        </w:trPr>
        <w:tc>
          <w:tcPr>
            <w:tcW w:w="5344" w:type="dxa"/>
            <w:tcBorders>
              <w:top w:val="double" w:sz="4" w:space="0" w:color="000000"/>
              <w:left w:val="single" w:sz="3" w:space="0" w:color="000000"/>
              <w:bottom w:val="single" w:sz="3" w:space="0" w:color="000000"/>
              <w:right w:val="single" w:sz="3" w:space="0" w:color="000000"/>
            </w:tcBorders>
          </w:tcPr>
          <w:p w14:paraId="6534334F" w14:textId="77777777" w:rsidR="00541219" w:rsidRDefault="00000000">
            <w:pPr>
              <w:spacing w:after="0"/>
              <w:ind w:left="0" w:firstLine="0"/>
            </w:pPr>
            <w:r>
              <w:rPr>
                <w:sz w:val="8"/>
              </w:rPr>
              <w:t>310. A REN nº 948/2021 define a possibilidade de aporte de capital em caso de descumprimento do Critério Econômico-Financeiro, desde que LAJIDA seja maior que a QRR. No entanto, dada a redação estabelecida no art. 3o, pode-se entender que até uma distribuidora com LAJIDA negativo seja passível de prorrogação, na forma e no montante a serem estabelecidos pela ANEEL.</w:t>
            </w:r>
          </w:p>
        </w:tc>
        <w:tc>
          <w:tcPr>
            <w:tcW w:w="4920" w:type="dxa"/>
            <w:gridSpan w:val="2"/>
            <w:vMerge w:val="restart"/>
            <w:tcBorders>
              <w:top w:val="single" w:sz="6" w:space="0" w:color="000000"/>
              <w:left w:val="single" w:sz="3" w:space="0" w:color="000000"/>
              <w:bottom w:val="single" w:sz="3" w:space="0" w:color="000000"/>
              <w:right w:val="nil"/>
            </w:tcBorders>
          </w:tcPr>
          <w:p w14:paraId="1EA15D01" w14:textId="77777777" w:rsidR="00541219" w:rsidRDefault="00541219">
            <w:pPr>
              <w:spacing w:after="160"/>
              <w:ind w:left="0" w:firstLine="0"/>
            </w:pPr>
          </w:p>
        </w:tc>
      </w:tr>
      <w:tr w:rsidR="00541219" w14:paraId="17AFD0DD"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6BE6DB8E" w14:textId="77777777" w:rsidR="00541219" w:rsidRDefault="00000000">
            <w:pPr>
              <w:spacing w:after="0"/>
              <w:ind w:left="497" w:firstLine="0"/>
            </w:pPr>
            <w:r>
              <w:rPr>
                <w:sz w:val="8"/>
              </w:rPr>
              <w:t xml:space="preserve">     Cláusula Vigésima – Condições de manutenção contratual</w:t>
            </w:r>
          </w:p>
        </w:tc>
        <w:tc>
          <w:tcPr>
            <w:tcW w:w="0" w:type="auto"/>
            <w:gridSpan w:val="2"/>
            <w:vMerge/>
            <w:tcBorders>
              <w:top w:val="nil"/>
              <w:left w:val="single" w:sz="3" w:space="0" w:color="000000"/>
              <w:bottom w:val="nil"/>
              <w:right w:val="nil"/>
            </w:tcBorders>
          </w:tcPr>
          <w:p w14:paraId="1281C6AF" w14:textId="77777777" w:rsidR="00541219" w:rsidRDefault="00541219">
            <w:pPr>
              <w:spacing w:after="160"/>
              <w:ind w:left="0" w:firstLine="0"/>
            </w:pPr>
          </w:p>
        </w:tc>
      </w:tr>
      <w:tr w:rsidR="00541219" w14:paraId="16EB0F48"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4EEC64FB" w14:textId="77777777" w:rsidR="00541219" w:rsidRDefault="00000000">
            <w:pPr>
              <w:spacing w:after="0"/>
              <w:ind w:left="497" w:firstLine="0"/>
            </w:pPr>
            <w:r>
              <w:rPr>
                <w:sz w:val="8"/>
              </w:rPr>
              <w:t xml:space="preserve">     Como alternativa ao não cumprimento das exigências para a prorrogação contratual definidas no Decreto nº 12.068, de 2024, referentes ao critério de eficiência com relação a gestão econômico-financeira, a DISTRIBUIDORA deverá promover aporte de capital necessário à sustentabilidade econômica e financeira da concessão, na forma e montante definidos nessa Cláusula.</w:t>
            </w:r>
          </w:p>
        </w:tc>
        <w:tc>
          <w:tcPr>
            <w:tcW w:w="0" w:type="auto"/>
            <w:gridSpan w:val="2"/>
            <w:vMerge/>
            <w:tcBorders>
              <w:top w:val="nil"/>
              <w:left w:val="single" w:sz="3" w:space="0" w:color="000000"/>
              <w:bottom w:val="nil"/>
              <w:right w:val="nil"/>
            </w:tcBorders>
          </w:tcPr>
          <w:p w14:paraId="5DEAE1F3" w14:textId="77777777" w:rsidR="00541219" w:rsidRDefault="00541219">
            <w:pPr>
              <w:spacing w:after="160"/>
              <w:ind w:left="0" w:firstLine="0"/>
            </w:pPr>
          </w:p>
        </w:tc>
      </w:tr>
      <w:tr w:rsidR="00541219" w14:paraId="24B4E783"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52B5F520" w14:textId="77777777" w:rsidR="00541219" w:rsidRDefault="00000000">
            <w:pPr>
              <w:spacing w:after="0"/>
              <w:ind w:left="497" w:firstLine="0"/>
            </w:pPr>
            <w:r>
              <w:rPr>
                <w:sz w:val="8"/>
              </w:rPr>
              <w:t xml:space="preserve">     Subcláusula Primeira - O aporte de capital será de, no mínimo, R$ XXX ([...] bilhão(</w:t>
            </w:r>
            <w:proofErr w:type="spellStart"/>
            <w:r>
              <w:rPr>
                <w:sz w:val="8"/>
              </w:rPr>
              <w:t>ões</w:t>
            </w:r>
            <w:proofErr w:type="spellEnd"/>
            <w:r>
              <w:rPr>
                <w:sz w:val="8"/>
              </w:rPr>
              <w:t>), [...] milhão(</w:t>
            </w:r>
            <w:proofErr w:type="spellStart"/>
            <w:r>
              <w:rPr>
                <w:sz w:val="8"/>
              </w:rPr>
              <w:t>ões</w:t>
            </w:r>
            <w:proofErr w:type="spellEnd"/>
            <w:r>
              <w:rPr>
                <w:sz w:val="8"/>
              </w:rPr>
              <w:t>), [...] mil, [...] real(</w:t>
            </w:r>
            <w:proofErr w:type="spellStart"/>
            <w:r>
              <w:rPr>
                <w:sz w:val="8"/>
              </w:rPr>
              <w:t>is</w:t>
            </w:r>
            <w:proofErr w:type="spellEnd"/>
            <w:r>
              <w:rPr>
                <w:sz w:val="8"/>
              </w:rPr>
              <w:t>) e [...] centavo(s).</w:t>
            </w:r>
          </w:p>
        </w:tc>
        <w:tc>
          <w:tcPr>
            <w:tcW w:w="0" w:type="auto"/>
            <w:gridSpan w:val="2"/>
            <w:vMerge/>
            <w:tcBorders>
              <w:top w:val="nil"/>
              <w:left w:val="single" w:sz="3" w:space="0" w:color="000000"/>
              <w:bottom w:val="nil"/>
              <w:right w:val="nil"/>
            </w:tcBorders>
          </w:tcPr>
          <w:p w14:paraId="2989C0C4" w14:textId="77777777" w:rsidR="00541219" w:rsidRDefault="00541219">
            <w:pPr>
              <w:spacing w:after="160"/>
              <w:ind w:left="0" w:firstLine="0"/>
            </w:pPr>
          </w:p>
        </w:tc>
      </w:tr>
      <w:tr w:rsidR="00541219" w14:paraId="3496615E"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4B224AEE" w14:textId="77777777" w:rsidR="00541219" w:rsidRDefault="00000000">
            <w:pPr>
              <w:spacing w:after="0"/>
              <w:ind w:left="497" w:right="56" w:firstLine="0"/>
              <w:jc w:val="both"/>
            </w:pPr>
            <w:r>
              <w:rPr>
                <w:sz w:val="8"/>
              </w:rPr>
              <w:t xml:space="preserve">     I – </w:t>
            </w:r>
            <w:proofErr w:type="gramStart"/>
            <w:r>
              <w:rPr>
                <w:sz w:val="8"/>
              </w:rPr>
              <w:t>o</w:t>
            </w:r>
            <w:proofErr w:type="gramEnd"/>
            <w:r>
              <w:rPr>
                <w:sz w:val="8"/>
              </w:rPr>
              <w:t xml:space="preserve"> aporte de capital deverá ser em Caixa ou Equivalentes de Caixa ou pela conversão de Empréstimos Passivos, em contrapartida de Integralização de Capital Social ou de Adiantamento para Futuro Aumento de Capital, no prazo de noventa dias, contado da celebração do termo aditivo ao contrato de concessão.</w:t>
            </w:r>
          </w:p>
        </w:tc>
        <w:tc>
          <w:tcPr>
            <w:tcW w:w="0" w:type="auto"/>
            <w:gridSpan w:val="2"/>
            <w:vMerge/>
            <w:tcBorders>
              <w:top w:val="nil"/>
              <w:left w:val="single" w:sz="3" w:space="0" w:color="000000"/>
              <w:bottom w:val="nil"/>
              <w:right w:val="nil"/>
            </w:tcBorders>
          </w:tcPr>
          <w:p w14:paraId="7DA16B18" w14:textId="77777777" w:rsidR="00541219" w:rsidRDefault="00541219">
            <w:pPr>
              <w:spacing w:after="160"/>
              <w:ind w:left="0" w:firstLine="0"/>
            </w:pPr>
          </w:p>
        </w:tc>
      </w:tr>
      <w:tr w:rsidR="00541219" w14:paraId="4E2479F5"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0822317D" w14:textId="77777777" w:rsidR="00541219" w:rsidRDefault="00000000">
            <w:pPr>
              <w:spacing w:after="0"/>
              <w:ind w:left="497" w:firstLine="0"/>
            </w:pPr>
            <w:r>
              <w:rPr>
                <w:sz w:val="8"/>
              </w:rPr>
              <w:t xml:space="preserve">     II - </w:t>
            </w:r>
            <w:proofErr w:type="gramStart"/>
            <w:r>
              <w:rPr>
                <w:sz w:val="8"/>
              </w:rPr>
              <w:t>o</w:t>
            </w:r>
            <w:proofErr w:type="gramEnd"/>
            <w:r>
              <w:rPr>
                <w:sz w:val="8"/>
              </w:rPr>
              <w:t xml:space="preserve"> Adiantamento para Futuro Aumento de Capital deverá ser registrado na conta contábil 2405.1 - Recursos Destinados a Aumento de Capital - Adiantamento, não podendo haver devolução dos recursos ao(s) Sócio(s) Controlador(es), devendo ser convertido em Capital Social em até 90 dias.</w:t>
            </w:r>
          </w:p>
        </w:tc>
        <w:tc>
          <w:tcPr>
            <w:tcW w:w="0" w:type="auto"/>
            <w:gridSpan w:val="2"/>
            <w:vMerge/>
            <w:tcBorders>
              <w:top w:val="nil"/>
              <w:left w:val="single" w:sz="3" w:space="0" w:color="000000"/>
              <w:bottom w:val="nil"/>
              <w:right w:val="nil"/>
            </w:tcBorders>
          </w:tcPr>
          <w:p w14:paraId="22D12FD3" w14:textId="77777777" w:rsidR="00541219" w:rsidRDefault="00541219">
            <w:pPr>
              <w:spacing w:after="160"/>
              <w:ind w:left="0" w:firstLine="0"/>
            </w:pPr>
          </w:p>
        </w:tc>
      </w:tr>
      <w:tr w:rsidR="00541219" w14:paraId="46F7159D"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686790B5" w14:textId="77777777" w:rsidR="00541219" w:rsidRDefault="00000000">
            <w:pPr>
              <w:spacing w:after="0"/>
              <w:ind w:left="0" w:firstLine="0"/>
            </w:pPr>
            <w:r>
              <w:rPr>
                <w:sz w:val="8"/>
              </w:rPr>
              <w:t>311. E a subcláusula segunda condiciona a efetivação do contrato ao aporte, bem como a consequência pelo respectivo não atendimento:</w:t>
            </w:r>
          </w:p>
        </w:tc>
        <w:tc>
          <w:tcPr>
            <w:tcW w:w="0" w:type="auto"/>
            <w:gridSpan w:val="2"/>
            <w:vMerge/>
            <w:tcBorders>
              <w:top w:val="nil"/>
              <w:left w:val="single" w:sz="3" w:space="0" w:color="000000"/>
              <w:bottom w:val="nil"/>
              <w:right w:val="nil"/>
            </w:tcBorders>
          </w:tcPr>
          <w:p w14:paraId="68274E63" w14:textId="77777777" w:rsidR="00541219" w:rsidRDefault="00541219">
            <w:pPr>
              <w:spacing w:after="160"/>
              <w:ind w:left="0" w:firstLine="0"/>
            </w:pPr>
          </w:p>
        </w:tc>
      </w:tr>
      <w:tr w:rsidR="00541219" w14:paraId="5E396368"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10050639" w14:textId="77777777" w:rsidR="00541219" w:rsidRDefault="00000000">
            <w:pPr>
              <w:spacing w:after="0"/>
              <w:ind w:left="497" w:firstLine="0"/>
            </w:pPr>
            <w:r>
              <w:rPr>
                <w:sz w:val="8"/>
              </w:rPr>
              <w:t xml:space="preserve">     Subcláusula Segunda - A não efetivação do aporte de capital no prazo estabelecido dos incisos II e III da Subcláusula Primeira:</w:t>
            </w:r>
          </w:p>
        </w:tc>
        <w:tc>
          <w:tcPr>
            <w:tcW w:w="0" w:type="auto"/>
            <w:gridSpan w:val="2"/>
            <w:vMerge/>
            <w:tcBorders>
              <w:top w:val="nil"/>
              <w:left w:val="single" w:sz="3" w:space="0" w:color="000000"/>
              <w:bottom w:val="nil"/>
              <w:right w:val="nil"/>
            </w:tcBorders>
          </w:tcPr>
          <w:p w14:paraId="2BCC788C" w14:textId="77777777" w:rsidR="00541219" w:rsidRDefault="00541219">
            <w:pPr>
              <w:spacing w:after="160"/>
              <w:ind w:left="0" w:firstLine="0"/>
            </w:pPr>
          </w:p>
        </w:tc>
      </w:tr>
      <w:tr w:rsidR="00541219" w14:paraId="6CCA59F3"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5AA770BC" w14:textId="77777777" w:rsidR="00541219" w:rsidRDefault="00000000">
            <w:pPr>
              <w:spacing w:after="0"/>
              <w:ind w:left="497" w:firstLine="0"/>
            </w:pPr>
            <w:r>
              <w:rPr>
                <w:sz w:val="8"/>
              </w:rPr>
              <w:t xml:space="preserve">     I - </w:t>
            </w:r>
            <w:proofErr w:type="gramStart"/>
            <w:r>
              <w:rPr>
                <w:sz w:val="8"/>
              </w:rPr>
              <w:t>tornará</w:t>
            </w:r>
            <w:proofErr w:type="gramEnd"/>
            <w:r>
              <w:rPr>
                <w:sz w:val="8"/>
              </w:rPr>
              <w:t xml:space="preserve"> sem efeito o termo aditivo ao contrato de concessão; e</w:t>
            </w:r>
          </w:p>
        </w:tc>
        <w:tc>
          <w:tcPr>
            <w:tcW w:w="0" w:type="auto"/>
            <w:gridSpan w:val="2"/>
            <w:vMerge/>
            <w:tcBorders>
              <w:top w:val="nil"/>
              <w:left w:val="single" w:sz="3" w:space="0" w:color="000000"/>
              <w:bottom w:val="nil"/>
              <w:right w:val="nil"/>
            </w:tcBorders>
          </w:tcPr>
          <w:p w14:paraId="649CC1F9" w14:textId="77777777" w:rsidR="00541219" w:rsidRDefault="00541219">
            <w:pPr>
              <w:spacing w:after="160"/>
              <w:ind w:left="0" w:firstLine="0"/>
            </w:pPr>
          </w:p>
        </w:tc>
      </w:tr>
      <w:tr w:rsidR="00541219" w14:paraId="06B4E273"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29E9C015" w14:textId="77777777" w:rsidR="00541219" w:rsidRDefault="00000000">
            <w:pPr>
              <w:spacing w:after="0"/>
              <w:ind w:left="497" w:firstLine="0"/>
            </w:pPr>
            <w:r>
              <w:rPr>
                <w:sz w:val="8"/>
              </w:rPr>
              <w:t xml:space="preserve">     II - </w:t>
            </w:r>
            <w:proofErr w:type="gramStart"/>
            <w:r>
              <w:rPr>
                <w:sz w:val="8"/>
              </w:rPr>
              <w:t>implicará</w:t>
            </w:r>
            <w:proofErr w:type="gramEnd"/>
            <w:r>
              <w:rPr>
                <w:sz w:val="8"/>
              </w:rPr>
              <w:t xml:space="preserve"> a concordância, por parte da DISTRIBUIDORA, com a prorrogação da concessão nas condições vigentes quando da apresentação do requerimento de que trata o art. 7o do Decreto no 12.068, de 20 de junho de 2024, por até vinte e quatro meses, contados do respectivo termo contratual, a critério do Poder concedente, para a realização da licitação de que trata o art. 13 do mesmo </w:t>
            </w:r>
          </w:p>
        </w:tc>
        <w:tc>
          <w:tcPr>
            <w:tcW w:w="0" w:type="auto"/>
            <w:gridSpan w:val="2"/>
            <w:vMerge/>
            <w:tcBorders>
              <w:top w:val="nil"/>
              <w:left w:val="single" w:sz="3" w:space="0" w:color="000000"/>
              <w:bottom w:val="nil"/>
              <w:right w:val="nil"/>
            </w:tcBorders>
          </w:tcPr>
          <w:p w14:paraId="077AA266" w14:textId="77777777" w:rsidR="00541219" w:rsidRDefault="00541219">
            <w:pPr>
              <w:spacing w:after="160"/>
              <w:ind w:left="0" w:firstLine="0"/>
            </w:pPr>
          </w:p>
        </w:tc>
      </w:tr>
      <w:tr w:rsidR="00541219" w14:paraId="7DCD7C7E"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645FFC83" w14:textId="77777777" w:rsidR="00541219" w:rsidRDefault="00000000">
            <w:pPr>
              <w:spacing w:after="0"/>
              <w:ind w:left="0" w:firstLine="0"/>
            </w:pPr>
            <w:r>
              <w:rPr>
                <w:sz w:val="8"/>
              </w:rPr>
              <w:t>312. A avaliação do Critério Econômico-Financeiro, bem como, da eventual mensuração de aporte de capital necessário para o cumprimento das exigências da prorrogação das concessões de distribuição ocorrerá em processo específico, em vista de que:</w:t>
            </w:r>
          </w:p>
        </w:tc>
        <w:tc>
          <w:tcPr>
            <w:tcW w:w="0" w:type="auto"/>
            <w:gridSpan w:val="2"/>
            <w:vMerge/>
            <w:tcBorders>
              <w:top w:val="nil"/>
              <w:left w:val="single" w:sz="3" w:space="0" w:color="000000"/>
              <w:bottom w:val="nil"/>
              <w:right w:val="nil"/>
            </w:tcBorders>
          </w:tcPr>
          <w:p w14:paraId="51672A45" w14:textId="77777777" w:rsidR="00541219" w:rsidRDefault="00541219">
            <w:pPr>
              <w:spacing w:after="160"/>
              <w:ind w:left="0" w:firstLine="0"/>
            </w:pPr>
          </w:p>
        </w:tc>
      </w:tr>
      <w:tr w:rsidR="00541219" w14:paraId="085B93D5"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4F2DEF66" w14:textId="77777777" w:rsidR="00541219" w:rsidRDefault="00000000">
            <w:pPr>
              <w:spacing w:after="0"/>
              <w:ind w:left="497" w:firstLine="0"/>
            </w:pPr>
            <w:r>
              <w:rPr>
                <w:sz w:val="8"/>
              </w:rPr>
              <w:t xml:space="preserve">     (i) o § 8o do art. 2o do Decreto nº 12.068/2024 prevê que, quando houver reposicionamento tarifário ou de parâmetros de regulação econômica, a Aneel deverá considerar o impacto desse reposicionamento no cálculo do indicador; </w:t>
            </w:r>
          </w:p>
        </w:tc>
        <w:tc>
          <w:tcPr>
            <w:tcW w:w="0" w:type="auto"/>
            <w:gridSpan w:val="2"/>
            <w:vMerge/>
            <w:tcBorders>
              <w:top w:val="nil"/>
              <w:left w:val="single" w:sz="3" w:space="0" w:color="000000"/>
              <w:bottom w:val="nil"/>
              <w:right w:val="nil"/>
            </w:tcBorders>
          </w:tcPr>
          <w:p w14:paraId="3045FF30" w14:textId="77777777" w:rsidR="00541219" w:rsidRDefault="00541219">
            <w:pPr>
              <w:spacing w:after="160"/>
              <w:ind w:left="0" w:firstLine="0"/>
            </w:pPr>
          </w:p>
        </w:tc>
      </w:tr>
      <w:tr w:rsidR="00541219" w14:paraId="0C69836A"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3C42F91E" w14:textId="77777777" w:rsidR="00541219" w:rsidRDefault="00000000">
            <w:pPr>
              <w:spacing w:after="0"/>
              <w:ind w:left="497" w:firstLine="0"/>
            </w:pPr>
            <w:r>
              <w:rPr>
                <w:sz w:val="8"/>
              </w:rPr>
              <w:t xml:space="preserve">     (</w:t>
            </w:r>
            <w:proofErr w:type="spellStart"/>
            <w:r>
              <w:rPr>
                <w:sz w:val="8"/>
              </w:rPr>
              <w:t>ii</w:t>
            </w:r>
            <w:proofErr w:type="spellEnd"/>
            <w:r>
              <w:rPr>
                <w:sz w:val="8"/>
              </w:rPr>
              <w:t xml:space="preserve">) há recursos pendentes de deliberação sobre o Critério Econômico-Financeiro; e </w:t>
            </w:r>
          </w:p>
        </w:tc>
        <w:tc>
          <w:tcPr>
            <w:tcW w:w="0" w:type="auto"/>
            <w:gridSpan w:val="2"/>
            <w:vMerge/>
            <w:tcBorders>
              <w:top w:val="nil"/>
              <w:left w:val="single" w:sz="3" w:space="0" w:color="000000"/>
              <w:bottom w:val="nil"/>
              <w:right w:val="nil"/>
            </w:tcBorders>
          </w:tcPr>
          <w:p w14:paraId="705BCA37" w14:textId="77777777" w:rsidR="00541219" w:rsidRDefault="00541219">
            <w:pPr>
              <w:spacing w:after="160"/>
              <w:ind w:left="0" w:firstLine="0"/>
            </w:pPr>
          </w:p>
        </w:tc>
      </w:tr>
      <w:tr w:rsidR="00541219" w14:paraId="4FED308C"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46E32E7B" w14:textId="77777777" w:rsidR="00541219" w:rsidRDefault="00000000">
            <w:pPr>
              <w:spacing w:after="0"/>
              <w:ind w:left="497" w:right="23" w:firstLine="0"/>
            </w:pPr>
            <w:r>
              <w:rPr>
                <w:sz w:val="8"/>
              </w:rPr>
              <w:t xml:space="preserve">     (</w:t>
            </w:r>
            <w:proofErr w:type="spellStart"/>
            <w:r>
              <w:rPr>
                <w:sz w:val="8"/>
              </w:rPr>
              <w:t>iii</w:t>
            </w:r>
            <w:proofErr w:type="spellEnd"/>
            <w:r>
              <w:rPr>
                <w:sz w:val="8"/>
              </w:rPr>
              <w:t>) há distribuidoras que cumprem as exigências econômico-financeiras, independentemente dos itens (i) e (</w:t>
            </w:r>
            <w:proofErr w:type="spellStart"/>
            <w:r>
              <w:rPr>
                <w:sz w:val="8"/>
              </w:rPr>
              <w:t>ii</w:t>
            </w:r>
            <w:proofErr w:type="spellEnd"/>
            <w:r>
              <w:rPr>
                <w:sz w:val="8"/>
              </w:rPr>
              <w:t>) e que, portanto, estariam aptas à prorrogação por este quesito.</w:t>
            </w:r>
          </w:p>
        </w:tc>
        <w:tc>
          <w:tcPr>
            <w:tcW w:w="0" w:type="auto"/>
            <w:gridSpan w:val="2"/>
            <w:vMerge/>
            <w:tcBorders>
              <w:top w:val="nil"/>
              <w:left w:val="single" w:sz="3" w:space="0" w:color="000000"/>
              <w:bottom w:val="nil"/>
              <w:right w:val="nil"/>
            </w:tcBorders>
          </w:tcPr>
          <w:p w14:paraId="147B0EA3" w14:textId="77777777" w:rsidR="00541219" w:rsidRDefault="00541219">
            <w:pPr>
              <w:spacing w:after="160"/>
              <w:ind w:left="0" w:firstLine="0"/>
            </w:pPr>
          </w:p>
        </w:tc>
      </w:tr>
      <w:tr w:rsidR="00541219" w14:paraId="09FAE46F"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596C4093" w14:textId="77777777" w:rsidR="00541219" w:rsidRDefault="00000000">
            <w:pPr>
              <w:spacing w:after="0"/>
              <w:ind w:left="0" w:right="236" w:firstLine="0"/>
              <w:jc w:val="both"/>
            </w:pPr>
            <w:r>
              <w:rPr>
                <w:sz w:val="8"/>
              </w:rPr>
              <w:t>313. Já para a avaliação do Critério Continuidade do Fornecimento, importante destacar os indicadores selecionados, os quais devem considerar a frequência e a duração média das interrupções do serviço público de distribuição de energia elétrica e serão aferidos individualmente para cada concessionária e a cada ano civil.</w:t>
            </w:r>
          </w:p>
        </w:tc>
        <w:tc>
          <w:tcPr>
            <w:tcW w:w="0" w:type="auto"/>
            <w:gridSpan w:val="2"/>
            <w:vMerge/>
            <w:tcBorders>
              <w:top w:val="nil"/>
              <w:left w:val="single" w:sz="3" w:space="0" w:color="000000"/>
              <w:bottom w:val="nil"/>
              <w:right w:val="nil"/>
            </w:tcBorders>
          </w:tcPr>
          <w:p w14:paraId="28F63FD0" w14:textId="77777777" w:rsidR="00541219" w:rsidRDefault="00541219">
            <w:pPr>
              <w:spacing w:after="160"/>
              <w:ind w:left="0" w:firstLine="0"/>
            </w:pPr>
          </w:p>
        </w:tc>
      </w:tr>
      <w:tr w:rsidR="00541219" w14:paraId="3FBCA2DE"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791A2FF1" w14:textId="77777777" w:rsidR="00541219" w:rsidRDefault="00000000">
            <w:pPr>
              <w:spacing w:after="0"/>
              <w:ind w:left="0" w:firstLine="0"/>
            </w:pPr>
            <w:r>
              <w:rPr>
                <w:sz w:val="8"/>
              </w:rPr>
              <w:t>314. Além disso, ficará caracterizado o descumprimento da prestação do serviço adequado quando for constatado, no período de apuração o não atendimento aos limites anuais globais dos indicadores de continuidade coletivos de frequência e de duração, de forma isolada ou conjuntamente, por três anos consecutivos.</w:t>
            </w:r>
          </w:p>
        </w:tc>
        <w:tc>
          <w:tcPr>
            <w:tcW w:w="0" w:type="auto"/>
            <w:gridSpan w:val="2"/>
            <w:vMerge/>
            <w:tcBorders>
              <w:top w:val="nil"/>
              <w:left w:val="single" w:sz="3" w:space="0" w:color="000000"/>
              <w:bottom w:val="nil"/>
              <w:right w:val="nil"/>
            </w:tcBorders>
          </w:tcPr>
          <w:p w14:paraId="7CAE2489" w14:textId="77777777" w:rsidR="00541219" w:rsidRDefault="00541219">
            <w:pPr>
              <w:spacing w:after="160"/>
              <w:ind w:left="0" w:firstLine="0"/>
            </w:pPr>
          </w:p>
        </w:tc>
      </w:tr>
      <w:tr w:rsidR="00541219" w14:paraId="46A50C02" w14:textId="77777777">
        <w:trPr>
          <w:trHeight w:val="245"/>
        </w:trPr>
        <w:tc>
          <w:tcPr>
            <w:tcW w:w="5344" w:type="dxa"/>
            <w:tcBorders>
              <w:top w:val="single" w:sz="3" w:space="0" w:color="000000"/>
              <w:left w:val="single" w:sz="3" w:space="0" w:color="000000"/>
              <w:bottom w:val="double" w:sz="3" w:space="0" w:color="000000"/>
              <w:right w:val="single" w:sz="3" w:space="0" w:color="000000"/>
            </w:tcBorders>
          </w:tcPr>
          <w:p w14:paraId="42C0E54E" w14:textId="77777777" w:rsidR="00541219" w:rsidRDefault="00000000">
            <w:pPr>
              <w:spacing w:after="0"/>
              <w:ind w:left="0" w:firstLine="0"/>
            </w:pPr>
            <w:r>
              <w:rPr>
                <w:sz w:val="8"/>
              </w:rPr>
              <w:t xml:space="preserve">315. Por fim, a avaliação do Critério Continuidade do Fornecimento, ocorrerá em processo específico associado à avaliação do Critério </w:t>
            </w:r>
            <w:proofErr w:type="spellStart"/>
            <w:r>
              <w:rPr>
                <w:sz w:val="8"/>
              </w:rPr>
              <w:t>EconômicoFinanceiro</w:t>
            </w:r>
            <w:proofErr w:type="spellEnd"/>
            <w:r>
              <w:rPr>
                <w:sz w:val="8"/>
              </w:rPr>
              <w:t>.</w:t>
            </w:r>
          </w:p>
        </w:tc>
        <w:tc>
          <w:tcPr>
            <w:tcW w:w="0" w:type="auto"/>
            <w:gridSpan w:val="2"/>
            <w:vMerge/>
            <w:tcBorders>
              <w:top w:val="nil"/>
              <w:left w:val="single" w:sz="3" w:space="0" w:color="000000"/>
              <w:bottom w:val="nil"/>
              <w:right w:val="nil"/>
            </w:tcBorders>
          </w:tcPr>
          <w:p w14:paraId="7D29C630" w14:textId="77777777" w:rsidR="00541219" w:rsidRDefault="00541219">
            <w:pPr>
              <w:spacing w:after="160"/>
              <w:ind w:left="0" w:firstLine="0"/>
            </w:pPr>
          </w:p>
        </w:tc>
      </w:tr>
      <w:tr w:rsidR="00541219" w14:paraId="1E0E051E" w14:textId="77777777">
        <w:trPr>
          <w:trHeight w:val="151"/>
        </w:trPr>
        <w:tc>
          <w:tcPr>
            <w:tcW w:w="5344" w:type="dxa"/>
            <w:tcBorders>
              <w:top w:val="double" w:sz="3" w:space="0" w:color="000000"/>
              <w:left w:val="single" w:sz="3" w:space="0" w:color="000000"/>
              <w:bottom w:val="single" w:sz="3" w:space="0" w:color="000000"/>
              <w:right w:val="single" w:sz="3" w:space="0" w:color="000000"/>
            </w:tcBorders>
          </w:tcPr>
          <w:p w14:paraId="44CA8A35" w14:textId="77777777" w:rsidR="00541219" w:rsidRDefault="00000000">
            <w:pPr>
              <w:spacing w:after="0"/>
              <w:ind w:left="2" w:firstLine="0"/>
            </w:pPr>
            <w:r>
              <w:t>III.3 – DA INSTRUÇAO PROCESSUAL</w:t>
            </w:r>
          </w:p>
          <w:p w14:paraId="2924F928" w14:textId="77777777" w:rsidR="00541219" w:rsidRDefault="00000000">
            <w:pPr>
              <w:spacing w:after="0"/>
              <w:ind w:left="0" w:firstLine="0"/>
            </w:pPr>
            <w:r>
              <w:rPr>
                <w:sz w:val="8"/>
              </w:rPr>
              <w:t>316. A minuta de Termo Aditivo deve ser submetida a consulta pública por 45 dias para posterior aprovação pela Diretoria.</w:t>
            </w:r>
          </w:p>
        </w:tc>
        <w:tc>
          <w:tcPr>
            <w:tcW w:w="0" w:type="auto"/>
            <w:gridSpan w:val="2"/>
            <w:vMerge/>
            <w:tcBorders>
              <w:top w:val="nil"/>
              <w:left w:val="single" w:sz="3" w:space="0" w:color="000000"/>
              <w:bottom w:val="nil"/>
              <w:right w:val="nil"/>
            </w:tcBorders>
          </w:tcPr>
          <w:p w14:paraId="0A774E93" w14:textId="77777777" w:rsidR="00541219" w:rsidRDefault="00541219">
            <w:pPr>
              <w:spacing w:after="160"/>
              <w:ind w:left="0" w:firstLine="0"/>
            </w:pPr>
          </w:p>
        </w:tc>
      </w:tr>
      <w:tr w:rsidR="00541219" w14:paraId="59492829"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1AE70DB8" w14:textId="77777777" w:rsidR="00541219" w:rsidRDefault="00000000">
            <w:pPr>
              <w:spacing w:after="0"/>
              <w:ind w:left="0" w:firstLine="0"/>
            </w:pPr>
            <w:r>
              <w:rPr>
                <w:sz w:val="8"/>
              </w:rPr>
              <w:t>317. Cabe destacar que nos termos do §4o do art. 4o da Lei 9.074/1995, as prorrogações das concessões referidas em tal deverão ser requeridas pelo concessionário ou permissionário, no prazo de até trinta e seis meses anteriores à data final do respectivo contrato, devendo o poder concedente manifestar-se sobre o requerimento até dezoito meses antes dessa data.</w:t>
            </w:r>
          </w:p>
        </w:tc>
        <w:tc>
          <w:tcPr>
            <w:tcW w:w="0" w:type="auto"/>
            <w:gridSpan w:val="2"/>
            <w:vMerge/>
            <w:tcBorders>
              <w:top w:val="nil"/>
              <w:left w:val="single" w:sz="3" w:space="0" w:color="000000"/>
              <w:bottom w:val="nil"/>
              <w:right w:val="nil"/>
            </w:tcBorders>
          </w:tcPr>
          <w:p w14:paraId="2D05F9B4" w14:textId="77777777" w:rsidR="00541219" w:rsidRDefault="00541219">
            <w:pPr>
              <w:spacing w:after="160"/>
              <w:ind w:left="0" w:firstLine="0"/>
            </w:pPr>
          </w:p>
        </w:tc>
      </w:tr>
      <w:tr w:rsidR="00541219" w14:paraId="192FF1F0"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66968874" w14:textId="77777777" w:rsidR="00541219" w:rsidRDefault="00000000">
            <w:pPr>
              <w:spacing w:after="2"/>
              <w:ind w:left="0" w:firstLine="0"/>
            </w:pPr>
            <w:r>
              <w:rPr>
                <w:sz w:val="8"/>
              </w:rPr>
              <w:t xml:space="preserve">318. As primeiras concessões abarcadas por este dispositivo são: EDP Espírito Santo Distribuição de Energia, com termo final em 17 de julho de 2025; </w:t>
            </w:r>
          </w:p>
          <w:p w14:paraId="37FDC8FF" w14:textId="77777777" w:rsidR="00541219" w:rsidRDefault="00000000">
            <w:pPr>
              <w:spacing w:after="0"/>
              <w:ind w:left="0" w:firstLine="0"/>
            </w:pPr>
            <w:r>
              <w:rPr>
                <w:sz w:val="8"/>
              </w:rPr>
              <w:t>Light Serviços de Eletricidade, com termo final em 4 de junho de 2026; e Ampla Energia e Serviços - Enel Rio, com termo final em 9 de dezembro de 2026.</w:t>
            </w:r>
          </w:p>
        </w:tc>
        <w:tc>
          <w:tcPr>
            <w:tcW w:w="0" w:type="auto"/>
            <w:gridSpan w:val="2"/>
            <w:vMerge/>
            <w:tcBorders>
              <w:top w:val="nil"/>
              <w:left w:val="single" w:sz="3" w:space="0" w:color="000000"/>
              <w:bottom w:val="single" w:sz="3" w:space="0" w:color="000000"/>
              <w:right w:val="nil"/>
            </w:tcBorders>
          </w:tcPr>
          <w:p w14:paraId="1E14A5F9" w14:textId="77777777" w:rsidR="00541219" w:rsidRDefault="00541219">
            <w:pPr>
              <w:spacing w:after="160"/>
              <w:ind w:left="0" w:firstLine="0"/>
            </w:pPr>
          </w:p>
        </w:tc>
      </w:tr>
      <w:tr w:rsidR="00541219" w14:paraId="7045C80E" w14:textId="77777777">
        <w:trPr>
          <w:trHeight w:val="470"/>
        </w:trPr>
        <w:tc>
          <w:tcPr>
            <w:tcW w:w="5344" w:type="dxa"/>
            <w:tcBorders>
              <w:top w:val="single" w:sz="3" w:space="0" w:color="000000"/>
              <w:left w:val="single" w:sz="3" w:space="0" w:color="000000"/>
              <w:bottom w:val="single" w:sz="3" w:space="0" w:color="000000"/>
              <w:right w:val="single" w:sz="3" w:space="0" w:color="000000"/>
            </w:tcBorders>
          </w:tcPr>
          <w:p w14:paraId="5F614BAB" w14:textId="77777777" w:rsidR="00541219" w:rsidRDefault="00000000">
            <w:pPr>
              <w:spacing w:after="0"/>
              <w:ind w:left="0" w:firstLine="0"/>
            </w:pPr>
            <w:r>
              <w:rPr>
                <w:sz w:val="8"/>
              </w:rPr>
              <w:t>319. Considerando que o Decreto que regulamento a tema somente foi publicado em 20 de junho de 2024, não é possível atender aos prazos estabelecidos no §4o do art. 4o da Lei 9.075/1995. Por essa razão, após a aprovação da minuta do termo aditivo as concessionárias que tiverem apresentado o requerimento de prorrogação anteriormente à publicação do Decreto e que mantiverem interesse na prorrogação deverão ratificá-lo no prazo de trinta dias, contado da publicação da minuta do termo aditivo ao contrato de concessão, e manifestar concordância integral com as condições estabelecidas, seguindo o rito estabelecido do Decreto 12.068/2024.</w:t>
            </w:r>
          </w:p>
        </w:tc>
        <w:tc>
          <w:tcPr>
            <w:tcW w:w="1229" w:type="dxa"/>
            <w:tcBorders>
              <w:top w:val="single" w:sz="3" w:space="0" w:color="000000"/>
              <w:left w:val="single" w:sz="3" w:space="0" w:color="000000"/>
              <w:bottom w:val="single" w:sz="3" w:space="0" w:color="000000"/>
              <w:right w:val="single" w:sz="3" w:space="0" w:color="000000"/>
            </w:tcBorders>
            <w:vAlign w:val="center"/>
          </w:tcPr>
          <w:p w14:paraId="32A0C3E7" w14:textId="77777777" w:rsidR="00541219" w:rsidRDefault="00000000">
            <w:pPr>
              <w:spacing w:after="0"/>
              <w:ind w:left="5" w:firstLine="0"/>
            </w:pPr>
            <w:r>
              <w:t>Comentário.</w:t>
            </w:r>
          </w:p>
        </w:tc>
        <w:tc>
          <w:tcPr>
            <w:tcW w:w="3691" w:type="dxa"/>
            <w:tcBorders>
              <w:top w:val="single" w:sz="3" w:space="0" w:color="000000"/>
              <w:left w:val="single" w:sz="3" w:space="0" w:color="000000"/>
              <w:bottom w:val="single" w:sz="3" w:space="0" w:color="000000"/>
              <w:right w:val="single" w:sz="3" w:space="0" w:color="000000"/>
            </w:tcBorders>
          </w:tcPr>
          <w:p w14:paraId="5C883428" w14:textId="7A36B92D" w:rsidR="00541219" w:rsidRDefault="00000000">
            <w:pPr>
              <w:spacing w:after="0"/>
              <w:ind w:left="5" w:firstLine="0"/>
            </w:pPr>
            <w:r>
              <w:t xml:space="preserve">O </w:t>
            </w:r>
            <w:r w:rsidR="00235051">
              <w:t>atraso</w:t>
            </w:r>
            <w:r>
              <w:t xml:space="preserve"> no processo se dá pelo hiato do poder concedente. A Aneel não deve </w:t>
            </w:r>
            <w:r w:rsidR="00235051">
              <w:t>atrasar</w:t>
            </w:r>
            <w:r>
              <w:t xml:space="preserve"> a aprovação </w:t>
            </w:r>
            <w:r w:rsidR="00344F46">
              <w:t>da minuta</w:t>
            </w:r>
            <w:r>
              <w:t xml:space="preserve"> do termo aditivo ao contrato de concessão, sob pena de </w:t>
            </w:r>
            <w:r w:rsidR="00235051">
              <w:t>inviabilizar</w:t>
            </w:r>
            <w:r>
              <w:t xml:space="preserve"> mais ainda os prazos.</w:t>
            </w:r>
          </w:p>
        </w:tc>
      </w:tr>
      <w:tr w:rsidR="00541219" w14:paraId="3B87C0D4"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4018C602" w14:textId="77777777" w:rsidR="00541219" w:rsidRDefault="00000000">
            <w:pPr>
              <w:spacing w:after="0"/>
              <w:ind w:left="0" w:firstLine="0"/>
              <w:jc w:val="both"/>
            </w:pPr>
            <w:r>
              <w:rPr>
                <w:sz w:val="8"/>
              </w:rPr>
              <w:lastRenderedPageBreak/>
              <w:t>320. Além disso, as concessionárias de distribuição poderão apresentar à Aneel o requerimento de que trata o art. 7o, para fins de antecipação dos efeitos da prorrogação, no prazo de trinta dias, contado da publicação da minuta do termo aditivo ao contrato de concessão.</w:t>
            </w:r>
          </w:p>
        </w:tc>
        <w:tc>
          <w:tcPr>
            <w:tcW w:w="4920" w:type="dxa"/>
            <w:gridSpan w:val="2"/>
            <w:vMerge w:val="restart"/>
            <w:tcBorders>
              <w:top w:val="single" w:sz="3" w:space="0" w:color="000000"/>
              <w:left w:val="single" w:sz="3" w:space="0" w:color="000000"/>
              <w:bottom w:val="nil"/>
              <w:right w:val="nil"/>
            </w:tcBorders>
          </w:tcPr>
          <w:p w14:paraId="11711D8F" w14:textId="77777777" w:rsidR="00541219" w:rsidRDefault="00541219">
            <w:pPr>
              <w:spacing w:after="160"/>
              <w:ind w:left="0" w:firstLine="0"/>
            </w:pPr>
          </w:p>
        </w:tc>
      </w:tr>
      <w:tr w:rsidR="00541219" w14:paraId="6AF1645B"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61FD6299" w14:textId="77777777" w:rsidR="00541219" w:rsidRDefault="00000000">
            <w:pPr>
              <w:spacing w:after="0"/>
              <w:ind w:left="0" w:firstLine="0"/>
            </w:pPr>
            <w:r>
              <w:rPr>
                <w:sz w:val="8"/>
              </w:rPr>
              <w:t>321. A antecipação pressupõe o atendimento as condições estabelecidas no art. 2o do Decreto no 12.068/2024, que trata da demonstração da prestação do serviço adequado. Caso as concessionárias que desejem a antecipação não atendam a essas condições no prazo de 30 contados da publicação da minuta do termo aditivo, poderão, nos termos do art. 11:</w:t>
            </w:r>
          </w:p>
        </w:tc>
        <w:tc>
          <w:tcPr>
            <w:tcW w:w="0" w:type="auto"/>
            <w:gridSpan w:val="2"/>
            <w:vMerge/>
            <w:tcBorders>
              <w:top w:val="nil"/>
              <w:left w:val="single" w:sz="3" w:space="0" w:color="000000"/>
              <w:bottom w:val="nil"/>
              <w:right w:val="nil"/>
            </w:tcBorders>
          </w:tcPr>
          <w:p w14:paraId="50BC82C3" w14:textId="77777777" w:rsidR="00541219" w:rsidRDefault="00541219">
            <w:pPr>
              <w:spacing w:after="160"/>
              <w:ind w:left="0" w:firstLine="0"/>
            </w:pPr>
          </w:p>
        </w:tc>
      </w:tr>
      <w:tr w:rsidR="00541219" w14:paraId="5E6E6AD0"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49A3D804" w14:textId="77777777" w:rsidR="00541219" w:rsidRDefault="00000000">
            <w:pPr>
              <w:spacing w:after="0"/>
              <w:ind w:left="497" w:firstLine="0"/>
            </w:pPr>
            <w:r>
              <w:rPr>
                <w:sz w:val="8"/>
              </w:rPr>
              <w:t xml:space="preserve">     I - </w:t>
            </w:r>
            <w:proofErr w:type="gramStart"/>
            <w:r>
              <w:rPr>
                <w:sz w:val="8"/>
              </w:rPr>
              <w:t>no</w:t>
            </w:r>
            <w:proofErr w:type="gramEnd"/>
            <w:r>
              <w:rPr>
                <w:sz w:val="8"/>
              </w:rPr>
              <w:t xml:space="preserve"> caso de não atendimento do critério de eficiência com relação à gestão econômico- financeira, promover aporte de capital necessário à sustentabilidade econômica e financeira da concessão, na forma e no montante estabelecidos pela Aneel; e</w:t>
            </w:r>
          </w:p>
        </w:tc>
        <w:tc>
          <w:tcPr>
            <w:tcW w:w="0" w:type="auto"/>
            <w:gridSpan w:val="2"/>
            <w:vMerge/>
            <w:tcBorders>
              <w:top w:val="nil"/>
              <w:left w:val="single" w:sz="3" w:space="0" w:color="000000"/>
              <w:bottom w:val="nil"/>
              <w:right w:val="nil"/>
            </w:tcBorders>
          </w:tcPr>
          <w:p w14:paraId="2DA2ED18" w14:textId="77777777" w:rsidR="00541219" w:rsidRDefault="00541219">
            <w:pPr>
              <w:spacing w:after="160"/>
              <w:ind w:left="0" w:firstLine="0"/>
            </w:pPr>
          </w:p>
        </w:tc>
      </w:tr>
      <w:tr w:rsidR="00541219" w14:paraId="24F5C4C9" w14:textId="77777777">
        <w:trPr>
          <w:trHeight w:val="377"/>
        </w:trPr>
        <w:tc>
          <w:tcPr>
            <w:tcW w:w="5344" w:type="dxa"/>
            <w:tcBorders>
              <w:top w:val="single" w:sz="3" w:space="0" w:color="000000"/>
              <w:left w:val="single" w:sz="3" w:space="0" w:color="000000"/>
              <w:bottom w:val="single" w:sz="3" w:space="0" w:color="000000"/>
              <w:right w:val="single" w:sz="3" w:space="0" w:color="000000"/>
            </w:tcBorders>
          </w:tcPr>
          <w:p w14:paraId="4D049723" w14:textId="77777777" w:rsidR="00541219" w:rsidRDefault="00000000">
            <w:pPr>
              <w:spacing w:after="0"/>
              <w:ind w:left="497" w:firstLine="0"/>
            </w:pPr>
            <w:r>
              <w:rPr>
                <w:sz w:val="8"/>
              </w:rPr>
              <w:t xml:space="preserve">    II - no caso de não atendimento do critério de continuidade do fornecimento, propor ao Ministério de Minas e Energia, no prazo de trinta dias, contado da publicação da minuta do termo aditivo ao contrato de concessão, plano de resultados que contenha, no mínimo, ações e investimentos para o atingimento do critério de continuidade do fornecimento, de base anual, no prazo remanescente até o marco de dezoito meses antes do advento do termo contratual vigente na data do requerimento de prorrogação.</w:t>
            </w:r>
          </w:p>
        </w:tc>
        <w:tc>
          <w:tcPr>
            <w:tcW w:w="0" w:type="auto"/>
            <w:gridSpan w:val="2"/>
            <w:vMerge/>
            <w:tcBorders>
              <w:top w:val="nil"/>
              <w:left w:val="single" w:sz="3" w:space="0" w:color="000000"/>
              <w:bottom w:val="nil"/>
              <w:right w:val="nil"/>
            </w:tcBorders>
          </w:tcPr>
          <w:p w14:paraId="4426F0EE" w14:textId="77777777" w:rsidR="00541219" w:rsidRDefault="00541219">
            <w:pPr>
              <w:spacing w:after="160"/>
              <w:ind w:left="0" w:firstLine="0"/>
            </w:pPr>
          </w:p>
        </w:tc>
      </w:tr>
      <w:tr w:rsidR="00541219" w14:paraId="10E1D5B7" w14:textId="77777777">
        <w:trPr>
          <w:trHeight w:val="245"/>
        </w:trPr>
        <w:tc>
          <w:tcPr>
            <w:tcW w:w="5344" w:type="dxa"/>
            <w:tcBorders>
              <w:top w:val="single" w:sz="3" w:space="0" w:color="000000"/>
              <w:left w:val="single" w:sz="3" w:space="0" w:color="000000"/>
              <w:bottom w:val="double" w:sz="3" w:space="0" w:color="000000"/>
              <w:right w:val="single" w:sz="3" w:space="0" w:color="000000"/>
            </w:tcBorders>
          </w:tcPr>
          <w:p w14:paraId="038B2332" w14:textId="77777777" w:rsidR="00541219" w:rsidRDefault="00000000">
            <w:pPr>
              <w:spacing w:after="0"/>
              <w:ind w:left="0" w:firstLine="0"/>
            </w:pPr>
            <w:r>
              <w:rPr>
                <w:sz w:val="8"/>
              </w:rPr>
              <w:t>322. Adicionalmente o Decreto prevê que o Ministério de Minas e Energia poderá estabelecer condições adicionais e metas específicas a serem cumpridas pela concessionária para o plano de resultados de que trata o inciso II.</w:t>
            </w:r>
          </w:p>
        </w:tc>
        <w:tc>
          <w:tcPr>
            <w:tcW w:w="0" w:type="auto"/>
            <w:gridSpan w:val="2"/>
            <w:vMerge/>
            <w:tcBorders>
              <w:top w:val="nil"/>
              <w:left w:val="single" w:sz="3" w:space="0" w:color="000000"/>
              <w:bottom w:val="nil"/>
              <w:right w:val="nil"/>
            </w:tcBorders>
          </w:tcPr>
          <w:p w14:paraId="0BD1F648" w14:textId="77777777" w:rsidR="00541219" w:rsidRDefault="00541219">
            <w:pPr>
              <w:spacing w:after="160"/>
              <w:ind w:left="0" w:firstLine="0"/>
            </w:pPr>
          </w:p>
        </w:tc>
      </w:tr>
      <w:tr w:rsidR="00541219" w14:paraId="31B455CE" w14:textId="77777777">
        <w:trPr>
          <w:trHeight w:val="151"/>
        </w:trPr>
        <w:tc>
          <w:tcPr>
            <w:tcW w:w="5344" w:type="dxa"/>
            <w:tcBorders>
              <w:top w:val="double" w:sz="3" w:space="0" w:color="000000"/>
              <w:left w:val="single" w:sz="3" w:space="0" w:color="000000"/>
              <w:bottom w:val="single" w:sz="3" w:space="0" w:color="000000"/>
              <w:right w:val="single" w:sz="3" w:space="0" w:color="000000"/>
            </w:tcBorders>
          </w:tcPr>
          <w:p w14:paraId="42D091BE" w14:textId="77777777" w:rsidR="00541219" w:rsidRDefault="00000000">
            <w:pPr>
              <w:spacing w:after="0"/>
              <w:ind w:left="2" w:firstLine="0"/>
            </w:pPr>
            <w:r>
              <w:t>IV – DO FUNDAMENTO LEGAL</w:t>
            </w:r>
          </w:p>
          <w:p w14:paraId="5673EBB5" w14:textId="77777777" w:rsidR="00541219" w:rsidRDefault="00000000">
            <w:pPr>
              <w:spacing w:after="0"/>
              <w:ind w:left="0" w:firstLine="0"/>
            </w:pPr>
            <w:r>
              <w:rPr>
                <w:sz w:val="8"/>
              </w:rPr>
              <w:t>323. A presente Nota Técnica fundamenta-se nos seguintes dispositivos legais:</w:t>
            </w:r>
          </w:p>
        </w:tc>
        <w:tc>
          <w:tcPr>
            <w:tcW w:w="0" w:type="auto"/>
            <w:gridSpan w:val="2"/>
            <w:vMerge/>
            <w:tcBorders>
              <w:top w:val="nil"/>
              <w:left w:val="single" w:sz="3" w:space="0" w:color="000000"/>
              <w:bottom w:val="nil"/>
              <w:right w:val="nil"/>
            </w:tcBorders>
          </w:tcPr>
          <w:p w14:paraId="382655BF" w14:textId="77777777" w:rsidR="00541219" w:rsidRDefault="00541219">
            <w:pPr>
              <w:spacing w:after="160"/>
              <w:ind w:left="0" w:firstLine="0"/>
            </w:pPr>
          </w:p>
        </w:tc>
      </w:tr>
      <w:tr w:rsidR="00541219" w14:paraId="0867D2EC"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6E4C9C5F" w14:textId="77777777" w:rsidR="00541219" w:rsidRDefault="00000000">
            <w:pPr>
              <w:spacing w:after="0"/>
              <w:ind w:left="0" w:firstLine="0"/>
            </w:pPr>
            <w:r>
              <w:rPr>
                <w:sz w:val="8"/>
              </w:rPr>
              <w:t xml:space="preserve">     a) Lei no 8.987, de 13 de fevereiro de 1995;</w:t>
            </w:r>
          </w:p>
        </w:tc>
        <w:tc>
          <w:tcPr>
            <w:tcW w:w="0" w:type="auto"/>
            <w:gridSpan w:val="2"/>
            <w:vMerge/>
            <w:tcBorders>
              <w:top w:val="nil"/>
              <w:left w:val="single" w:sz="3" w:space="0" w:color="000000"/>
              <w:bottom w:val="nil"/>
              <w:right w:val="nil"/>
            </w:tcBorders>
          </w:tcPr>
          <w:p w14:paraId="0C17CEDE" w14:textId="77777777" w:rsidR="00541219" w:rsidRDefault="00541219">
            <w:pPr>
              <w:spacing w:after="160"/>
              <w:ind w:left="0" w:firstLine="0"/>
            </w:pPr>
          </w:p>
        </w:tc>
      </w:tr>
      <w:tr w:rsidR="00541219" w14:paraId="50B14F34"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12136B06" w14:textId="77777777" w:rsidR="00541219" w:rsidRDefault="00000000">
            <w:pPr>
              <w:spacing w:after="0"/>
              <w:ind w:left="0" w:firstLine="0"/>
            </w:pPr>
            <w:r>
              <w:rPr>
                <w:sz w:val="8"/>
              </w:rPr>
              <w:t xml:space="preserve">     b) Lei no 9.074, de 7 de julho de 1995;</w:t>
            </w:r>
          </w:p>
        </w:tc>
        <w:tc>
          <w:tcPr>
            <w:tcW w:w="0" w:type="auto"/>
            <w:gridSpan w:val="2"/>
            <w:vMerge/>
            <w:tcBorders>
              <w:top w:val="nil"/>
              <w:left w:val="single" w:sz="3" w:space="0" w:color="000000"/>
              <w:bottom w:val="nil"/>
              <w:right w:val="nil"/>
            </w:tcBorders>
          </w:tcPr>
          <w:p w14:paraId="0DFD7D01" w14:textId="77777777" w:rsidR="00541219" w:rsidRDefault="00541219">
            <w:pPr>
              <w:spacing w:after="160"/>
              <w:ind w:left="0" w:firstLine="0"/>
            </w:pPr>
          </w:p>
        </w:tc>
      </w:tr>
      <w:tr w:rsidR="00541219" w14:paraId="31403342"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3D384E70" w14:textId="77777777" w:rsidR="00541219" w:rsidRDefault="00000000">
            <w:pPr>
              <w:spacing w:after="0"/>
              <w:ind w:left="0" w:firstLine="0"/>
            </w:pPr>
            <w:r>
              <w:rPr>
                <w:sz w:val="8"/>
              </w:rPr>
              <w:t xml:space="preserve">     c) Lei no 13.709, de 14 de agosto de 2018;</w:t>
            </w:r>
          </w:p>
        </w:tc>
        <w:tc>
          <w:tcPr>
            <w:tcW w:w="0" w:type="auto"/>
            <w:gridSpan w:val="2"/>
            <w:vMerge/>
            <w:tcBorders>
              <w:top w:val="nil"/>
              <w:left w:val="single" w:sz="3" w:space="0" w:color="000000"/>
              <w:bottom w:val="nil"/>
              <w:right w:val="nil"/>
            </w:tcBorders>
          </w:tcPr>
          <w:p w14:paraId="342602A5" w14:textId="77777777" w:rsidR="00541219" w:rsidRDefault="00541219">
            <w:pPr>
              <w:spacing w:after="160"/>
              <w:ind w:left="0" w:firstLine="0"/>
            </w:pPr>
          </w:p>
        </w:tc>
      </w:tr>
      <w:tr w:rsidR="00541219" w14:paraId="758418B9" w14:textId="77777777">
        <w:trPr>
          <w:trHeight w:val="151"/>
        </w:trPr>
        <w:tc>
          <w:tcPr>
            <w:tcW w:w="5344" w:type="dxa"/>
            <w:tcBorders>
              <w:top w:val="single" w:sz="3" w:space="0" w:color="000000"/>
              <w:left w:val="single" w:sz="3" w:space="0" w:color="000000"/>
              <w:bottom w:val="double" w:sz="3" w:space="0" w:color="000000"/>
              <w:right w:val="single" w:sz="3" w:space="0" w:color="000000"/>
            </w:tcBorders>
          </w:tcPr>
          <w:p w14:paraId="06FB311D" w14:textId="77777777" w:rsidR="00541219" w:rsidRDefault="00000000">
            <w:pPr>
              <w:spacing w:after="0"/>
              <w:ind w:left="0" w:firstLine="0"/>
            </w:pPr>
            <w:r>
              <w:rPr>
                <w:sz w:val="8"/>
              </w:rPr>
              <w:t xml:space="preserve">     d) Decreto no 12.068, de 20 de junho de 2024;</w:t>
            </w:r>
          </w:p>
        </w:tc>
        <w:tc>
          <w:tcPr>
            <w:tcW w:w="0" w:type="auto"/>
            <w:gridSpan w:val="2"/>
            <w:vMerge/>
            <w:tcBorders>
              <w:top w:val="nil"/>
              <w:left w:val="single" w:sz="3" w:space="0" w:color="000000"/>
              <w:bottom w:val="nil"/>
              <w:right w:val="nil"/>
            </w:tcBorders>
          </w:tcPr>
          <w:p w14:paraId="6D97D99C" w14:textId="77777777" w:rsidR="00541219" w:rsidRDefault="00541219">
            <w:pPr>
              <w:spacing w:after="160"/>
              <w:ind w:left="0" w:firstLine="0"/>
            </w:pPr>
          </w:p>
        </w:tc>
      </w:tr>
      <w:tr w:rsidR="00541219" w14:paraId="51693254" w14:textId="77777777">
        <w:trPr>
          <w:trHeight w:val="245"/>
        </w:trPr>
        <w:tc>
          <w:tcPr>
            <w:tcW w:w="5344" w:type="dxa"/>
            <w:tcBorders>
              <w:top w:val="double" w:sz="3" w:space="0" w:color="000000"/>
              <w:left w:val="single" w:sz="3" w:space="0" w:color="000000"/>
              <w:bottom w:val="single" w:sz="3" w:space="0" w:color="000000"/>
              <w:right w:val="single" w:sz="3" w:space="0" w:color="000000"/>
            </w:tcBorders>
          </w:tcPr>
          <w:p w14:paraId="67B57681" w14:textId="77777777" w:rsidR="00541219" w:rsidRDefault="00000000">
            <w:pPr>
              <w:spacing w:after="0"/>
              <w:ind w:left="2" w:firstLine="0"/>
            </w:pPr>
            <w:r>
              <w:t>V - DA CONCLUSÃO E RECOMENDAÇÃO</w:t>
            </w:r>
          </w:p>
          <w:p w14:paraId="37901219" w14:textId="77777777" w:rsidR="00541219" w:rsidRDefault="00000000">
            <w:pPr>
              <w:spacing w:after="0"/>
              <w:ind w:left="0" w:firstLine="0"/>
            </w:pPr>
            <w:r>
              <w:rPr>
                <w:sz w:val="8"/>
              </w:rPr>
              <w:t>324. Diante do exposto conclui-se pela necessidade de instaurar consulta pública, por 45 dias, para obter subsídios e informações adicionais para o aprimoramento da minuta de termo aditivo ao contrato de concessão de distribuição de energia elétrica com vistas à prorrogação das concessões.</w:t>
            </w:r>
          </w:p>
        </w:tc>
        <w:tc>
          <w:tcPr>
            <w:tcW w:w="0" w:type="auto"/>
            <w:gridSpan w:val="2"/>
            <w:vMerge/>
            <w:tcBorders>
              <w:top w:val="nil"/>
              <w:left w:val="single" w:sz="3" w:space="0" w:color="000000"/>
              <w:bottom w:val="nil"/>
              <w:right w:val="nil"/>
            </w:tcBorders>
          </w:tcPr>
          <w:p w14:paraId="2D131DC1" w14:textId="77777777" w:rsidR="00541219" w:rsidRDefault="00541219">
            <w:pPr>
              <w:spacing w:after="160"/>
              <w:ind w:left="0" w:firstLine="0"/>
            </w:pPr>
          </w:p>
        </w:tc>
      </w:tr>
      <w:tr w:rsidR="00541219" w14:paraId="4A26B8E9"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4BBCA9B7" w14:textId="77777777" w:rsidR="00541219" w:rsidRDefault="00000000">
            <w:pPr>
              <w:spacing w:after="0"/>
              <w:ind w:left="0" w:firstLine="0"/>
            </w:pPr>
            <w:r>
              <w:rPr>
                <w:sz w:val="8"/>
              </w:rPr>
              <w:t>325. Recomenda-se o encaminhamento dessa proposta técnica a Diretora-Relatora, com vistas à abertura de consulta pública.</w:t>
            </w:r>
          </w:p>
        </w:tc>
        <w:tc>
          <w:tcPr>
            <w:tcW w:w="0" w:type="auto"/>
            <w:gridSpan w:val="2"/>
            <w:vMerge/>
            <w:tcBorders>
              <w:top w:val="nil"/>
              <w:left w:val="single" w:sz="3" w:space="0" w:color="000000"/>
              <w:bottom w:val="nil"/>
              <w:right w:val="nil"/>
            </w:tcBorders>
          </w:tcPr>
          <w:p w14:paraId="1FC7AC39" w14:textId="77777777" w:rsidR="00541219" w:rsidRDefault="00541219">
            <w:pPr>
              <w:spacing w:after="160"/>
              <w:ind w:left="0" w:firstLine="0"/>
            </w:pPr>
          </w:p>
        </w:tc>
      </w:tr>
      <w:tr w:rsidR="00541219" w14:paraId="138CEACD"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4A9090F2" w14:textId="77777777" w:rsidR="00541219" w:rsidRDefault="00000000">
            <w:pPr>
              <w:spacing w:after="0"/>
              <w:ind w:left="0" w:firstLine="0"/>
            </w:pPr>
            <w:r>
              <w:rPr>
                <w:sz w:val="8"/>
              </w:rPr>
              <w:t>(Assinado digitalmente)</w:t>
            </w:r>
          </w:p>
          <w:p w14:paraId="271566A3" w14:textId="77777777" w:rsidR="00541219" w:rsidRDefault="00000000">
            <w:pPr>
              <w:spacing w:after="0"/>
              <w:ind w:left="0" w:firstLine="0"/>
            </w:pPr>
            <w:r>
              <w:rPr>
                <w:sz w:val="8"/>
              </w:rPr>
              <w:t>JESUS ROBERTO FERRER DE FRANCESCO Especialista em Regulação - SCE</w:t>
            </w:r>
          </w:p>
        </w:tc>
        <w:tc>
          <w:tcPr>
            <w:tcW w:w="0" w:type="auto"/>
            <w:gridSpan w:val="2"/>
            <w:vMerge/>
            <w:tcBorders>
              <w:top w:val="nil"/>
              <w:left w:val="single" w:sz="3" w:space="0" w:color="000000"/>
              <w:bottom w:val="nil"/>
              <w:right w:val="nil"/>
            </w:tcBorders>
          </w:tcPr>
          <w:p w14:paraId="7B0F4311" w14:textId="77777777" w:rsidR="00541219" w:rsidRDefault="00541219">
            <w:pPr>
              <w:spacing w:after="160"/>
              <w:ind w:left="0" w:firstLine="0"/>
            </w:pPr>
          </w:p>
        </w:tc>
      </w:tr>
      <w:tr w:rsidR="00541219" w14:paraId="1141E1D4"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20186542" w14:textId="77777777" w:rsidR="00541219" w:rsidRDefault="00000000">
            <w:pPr>
              <w:spacing w:after="0"/>
              <w:ind w:left="0" w:firstLine="0"/>
            </w:pPr>
            <w:r>
              <w:rPr>
                <w:sz w:val="8"/>
              </w:rPr>
              <w:t>(Assinado digitalmente)</w:t>
            </w:r>
          </w:p>
          <w:p w14:paraId="62F163F3" w14:textId="77777777" w:rsidR="00541219" w:rsidRDefault="00000000">
            <w:pPr>
              <w:spacing w:after="0"/>
              <w:ind w:left="0" w:firstLine="0"/>
            </w:pPr>
            <w:r>
              <w:rPr>
                <w:sz w:val="8"/>
              </w:rPr>
              <w:t>MARCELO MACIEL TINANO Analista Administrativo - SCE</w:t>
            </w:r>
          </w:p>
        </w:tc>
        <w:tc>
          <w:tcPr>
            <w:tcW w:w="0" w:type="auto"/>
            <w:gridSpan w:val="2"/>
            <w:vMerge/>
            <w:tcBorders>
              <w:top w:val="nil"/>
              <w:left w:val="single" w:sz="3" w:space="0" w:color="000000"/>
              <w:bottom w:val="nil"/>
              <w:right w:val="nil"/>
            </w:tcBorders>
          </w:tcPr>
          <w:p w14:paraId="61944C59" w14:textId="77777777" w:rsidR="00541219" w:rsidRDefault="00541219">
            <w:pPr>
              <w:spacing w:after="160"/>
              <w:ind w:left="0" w:firstLine="0"/>
            </w:pPr>
          </w:p>
        </w:tc>
      </w:tr>
      <w:tr w:rsidR="00541219" w14:paraId="6744D442"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27814048" w14:textId="77777777" w:rsidR="00541219" w:rsidRDefault="00000000">
            <w:pPr>
              <w:spacing w:after="0"/>
              <w:ind w:left="0" w:firstLine="0"/>
            </w:pPr>
            <w:r>
              <w:rPr>
                <w:sz w:val="8"/>
              </w:rPr>
              <w:t>(Assinado digitalmente)</w:t>
            </w:r>
          </w:p>
          <w:p w14:paraId="248BE1D3" w14:textId="77777777" w:rsidR="00541219" w:rsidRDefault="00000000">
            <w:pPr>
              <w:spacing w:after="0"/>
              <w:ind w:left="0" w:firstLine="0"/>
            </w:pPr>
            <w:r>
              <w:rPr>
                <w:sz w:val="8"/>
              </w:rPr>
              <w:t>THAIS COELHO BARBOSA Superintendente Adjunta de Concessões, Permissões e Autorizações dos Serviços de Energia Elétrica – SCE</w:t>
            </w:r>
          </w:p>
        </w:tc>
        <w:tc>
          <w:tcPr>
            <w:tcW w:w="0" w:type="auto"/>
            <w:gridSpan w:val="2"/>
            <w:vMerge/>
            <w:tcBorders>
              <w:top w:val="nil"/>
              <w:left w:val="single" w:sz="3" w:space="0" w:color="000000"/>
              <w:bottom w:val="nil"/>
              <w:right w:val="nil"/>
            </w:tcBorders>
          </w:tcPr>
          <w:p w14:paraId="25632310" w14:textId="77777777" w:rsidR="00541219" w:rsidRDefault="00541219">
            <w:pPr>
              <w:spacing w:after="160"/>
              <w:ind w:left="0" w:firstLine="0"/>
            </w:pPr>
          </w:p>
        </w:tc>
      </w:tr>
      <w:tr w:rsidR="00541219" w14:paraId="5A7EFB8D"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568FD1B3" w14:textId="77777777" w:rsidR="00541219" w:rsidRDefault="00000000">
            <w:pPr>
              <w:spacing w:after="0"/>
              <w:ind w:left="0" w:firstLine="0"/>
            </w:pPr>
            <w:r>
              <w:rPr>
                <w:sz w:val="8"/>
              </w:rPr>
              <w:t>(Assinado digitalmente)</w:t>
            </w:r>
          </w:p>
          <w:p w14:paraId="666CA52E" w14:textId="77777777" w:rsidR="00541219" w:rsidRDefault="00000000">
            <w:pPr>
              <w:spacing w:after="0"/>
              <w:ind w:left="0" w:firstLine="0"/>
            </w:pPr>
            <w:r>
              <w:rPr>
                <w:sz w:val="8"/>
              </w:rPr>
              <w:t>ANDRE MEISTER</w:t>
            </w:r>
          </w:p>
          <w:p w14:paraId="7109B7CA" w14:textId="77777777" w:rsidR="00541219" w:rsidRDefault="00000000">
            <w:pPr>
              <w:spacing w:after="0"/>
              <w:ind w:left="0" w:firstLine="0"/>
            </w:pPr>
            <w:r>
              <w:rPr>
                <w:sz w:val="8"/>
              </w:rPr>
              <w:t>Gerente de Outorgas de Transmissão e Distribuição de Energia Elétrica - SCE</w:t>
            </w:r>
          </w:p>
        </w:tc>
        <w:tc>
          <w:tcPr>
            <w:tcW w:w="0" w:type="auto"/>
            <w:gridSpan w:val="2"/>
            <w:vMerge/>
            <w:tcBorders>
              <w:top w:val="nil"/>
              <w:left w:val="single" w:sz="3" w:space="0" w:color="000000"/>
              <w:bottom w:val="nil"/>
              <w:right w:val="nil"/>
            </w:tcBorders>
          </w:tcPr>
          <w:p w14:paraId="1CDCB7AC" w14:textId="77777777" w:rsidR="00541219" w:rsidRDefault="00541219">
            <w:pPr>
              <w:spacing w:after="160"/>
              <w:ind w:left="0" w:firstLine="0"/>
            </w:pPr>
          </w:p>
        </w:tc>
      </w:tr>
      <w:tr w:rsidR="00541219" w14:paraId="07934E02"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548547A8" w14:textId="77777777" w:rsidR="00541219" w:rsidRDefault="00000000">
            <w:pPr>
              <w:spacing w:after="0"/>
              <w:ind w:left="0" w:firstLine="0"/>
            </w:pPr>
            <w:r>
              <w:rPr>
                <w:sz w:val="8"/>
              </w:rPr>
              <w:t>(Assinado digitalmente)</w:t>
            </w:r>
          </w:p>
          <w:p w14:paraId="181AE667" w14:textId="77777777" w:rsidR="00541219" w:rsidRDefault="00000000">
            <w:pPr>
              <w:spacing w:after="0"/>
              <w:ind w:left="0" w:firstLine="0"/>
            </w:pPr>
            <w:r>
              <w:rPr>
                <w:sz w:val="8"/>
              </w:rPr>
              <w:t>EDUARDO HIROMI OHARA Especialista em Regulação - SFF</w:t>
            </w:r>
          </w:p>
        </w:tc>
        <w:tc>
          <w:tcPr>
            <w:tcW w:w="0" w:type="auto"/>
            <w:gridSpan w:val="2"/>
            <w:vMerge/>
            <w:tcBorders>
              <w:top w:val="nil"/>
              <w:left w:val="single" w:sz="3" w:space="0" w:color="000000"/>
              <w:bottom w:val="nil"/>
              <w:right w:val="nil"/>
            </w:tcBorders>
          </w:tcPr>
          <w:p w14:paraId="5B05C63F" w14:textId="77777777" w:rsidR="00541219" w:rsidRDefault="00541219">
            <w:pPr>
              <w:spacing w:after="160"/>
              <w:ind w:left="0" w:firstLine="0"/>
            </w:pPr>
          </w:p>
        </w:tc>
      </w:tr>
      <w:tr w:rsidR="00541219" w14:paraId="4A076158"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39246484" w14:textId="77777777" w:rsidR="00541219" w:rsidRDefault="00000000">
            <w:pPr>
              <w:spacing w:after="0"/>
              <w:ind w:left="0" w:firstLine="0"/>
            </w:pPr>
            <w:r>
              <w:rPr>
                <w:sz w:val="8"/>
              </w:rPr>
              <w:t>(Assinado digitalmente)</w:t>
            </w:r>
          </w:p>
          <w:p w14:paraId="4430E1DC" w14:textId="77777777" w:rsidR="00541219" w:rsidRDefault="00000000">
            <w:pPr>
              <w:spacing w:after="0"/>
              <w:ind w:left="0" w:firstLine="0"/>
            </w:pPr>
            <w:r>
              <w:rPr>
                <w:sz w:val="8"/>
              </w:rPr>
              <w:t>FAUSTO FERNANDO DEODATO Especialista em Regulação - SFF</w:t>
            </w:r>
          </w:p>
        </w:tc>
        <w:tc>
          <w:tcPr>
            <w:tcW w:w="0" w:type="auto"/>
            <w:gridSpan w:val="2"/>
            <w:vMerge/>
            <w:tcBorders>
              <w:top w:val="nil"/>
              <w:left w:val="single" w:sz="3" w:space="0" w:color="000000"/>
              <w:bottom w:val="nil"/>
              <w:right w:val="nil"/>
            </w:tcBorders>
          </w:tcPr>
          <w:p w14:paraId="2255A0D2" w14:textId="77777777" w:rsidR="00541219" w:rsidRDefault="00541219">
            <w:pPr>
              <w:spacing w:after="160"/>
              <w:ind w:left="0" w:firstLine="0"/>
            </w:pPr>
          </w:p>
        </w:tc>
      </w:tr>
      <w:tr w:rsidR="00541219" w14:paraId="2F374FFC"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182E4AA2" w14:textId="77777777" w:rsidR="00541219" w:rsidRDefault="00000000">
            <w:pPr>
              <w:spacing w:after="0"/>
              <w:ind w:left="0" w:firstLine="0"/>
            </w:pPr>
            <w:r>
              <w:rPr>
                <w:sz w:val="8"/>
              </w:rPr>
              <w:t>(Assinado digitalmente)</w:t>
            </w:r>
          </w:p>
          <w:p w14:paraId="42F1DE47" w14:textId="77777777" w:rsidR="00541219" w:rsidRDefault="00000000">
            <w:pPr>
              <w:spacing w:after="0"/>
              <w:ind w:left="0" w:firstLine="0"/>
            </w:pPr>
            <w:r>
              <w:rPr>
                <w:sz w:val="8"/>
              </w:rPr>
              <w:t>MICHELLE CRISTINA RODRIGUES DE JESUS Coordenadora Adjunta de Monitoramento do Mercado e Regulação Econômico-Financeira - SFF</w:t>
            </w:r>
          </w:p>
        </w:tc>
        <w:tc>
          <w:tcPr>
            <w:tcW w:w="0" w:type="auto"/>
            <w:gridSpan w:val="2"/>
            <w:vMerge/>
            <w:tcBorders>
              <w:top w:val="nil"/>
              <w:left w:val="single" w:sz="3" w:space="0" w:color="000000"/>
              <w:bottom w:val="nil"/>
              <w:right w:val="nil"/>
            </w:tcBorders>
          </w:tcPr>
          <w:p w14:paraId="53E910D3" w14:textId="77777777" w:rsidR="00541219" w:rsidRDefault="00541219">
            <w:pPr>
              <w:spacing w:after="160"/>
              <w:ind w:left="0" w:firstLine="0"/>
            </w:pPr>
          </w:p>
        </w:tc>
      </w:tr>
      <w:tr w:rsidR="00541219" w14:paraId="20383056"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78044E82" w14:textId="77777777" w:rsidR="00541219" w:rsidRDefault="00000000">
            <w:pPr>
              <w:spacing w:after="0"/>
              <w:ind w:left="0" w:firstLine="0"/>
            </w:pPr>
            <w:r>
              <w:rPr>
                <w:sz w:val="8"/>
              </w:rPr>
              <w:t>(Assinado digitalmente)</w:t>
            </w:r>
          </w:p>
          <w:p w14:paraId="5844DADE" w14:textId="77777777" w:rsidR="00541219" w:rsidRDefault="00000000">
            <w:pPr>
              <w:spacing w:after="0"/>
              <w:ind w:left="0" w:firstLine="0"/>
            </w:pPr>
            <w:r>
              <w:rPr>
                <w:sz w:val="8"/>
              </w:rPr>
              <w:t>VANESSA RODRIGUES DOS SANTOS CARDOSO Gerente de Monitoramento, Regulação e Conformidade Regulatória Econômico-Financeira - SFF</w:t>
            </w:r>
          </w:p>
        </w:tc>
        <w:tc>
          <w:tcPr>
            <w:tcW w:w="0" w:type="auto"/>
            <w:gridSpan w:val="2"/>
            <w:vMerge/>
            <w:tcBorders>
              <w:top w:val="nil"/>
              <w:left w:val="single" w:sz="3" w:space="0" w:color="000000"/>
              <w:bottom w:val="nil"/>
              <w:right w:val="nil"/>
            </w:tcBorders>
          </w:tcPr>
          <w:p w14:paraId="648D6A69" w14:textId="77777777" w:rsidR="00541219" w:rsidRDefault="00541219">
            <w:pPr>
              <w:spacing w:after="160"/>
              <w:ind w:left="0" w:firstLine="0"/>
            </w:pPr>
          </w:p>
        </w:tc>
      </w:tr>
      <w:tr w:rsidR="00541219" w14:paraId="0777B25C"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26A32631" w14:textId="77777777" w:rsidR="00541219" w:rsidRDefault="00000000">
            <w:pPr>
              <w:spacing w:after="0"/>
              <w:ind w:left="0" w:firstLine="0"/>
            </w:pPr>
            <w:r>
              <w:rPr>
                <w:sz w:val="8"/>
              </w:rPr>
              <w:t>(Assinado digitalmente)</w:t>
            </w:r>
          </w:p>
          <w:p w14:paraId="5BFCDC33" w14:textId="77777777" w:rsidR="00541219" w:rsidRDefault="00000000">
            <w:pPr>
              <w:spacing w:after="0"/>
              <w:ind w:left="0" w:firstLine="0"/>
            </w:pPr>
            <w:r>
              <w:rPr>
                <w:sz w:val="8"/>
              </w:rPr>
              <w:t>RODRIGO FERNANDES BRAGA COELHO Superintendente Adjunto de Fiscalização Econômica, Financeira e de Mercado - SFF</w:t>
            </w:r>
          </w:p>
        </w:tc>
        <w:tc>
          <w:tcPr>
            <w:tcW w:w="0" w:type="auto"/>
            <w:gridSpan w:val="2"/>
            <w:vMerge/>
            <w:tcBorders>
              <w:top w:val="nil"/>
              <w:left w:val="single" w:sz="3" w:space="0" w:color="000000"/>
              <w:bottom w:val="nil"/>
              <w:right w:val="nil"/>
            </w:tcBorders>
          </w:tcPr>
          <w:p w14:paraId="0E98656D" w14:textId="77777777" w:rsidR="00541219" w:rsidRDefault="00541219">
            <w:pPr>
              <w:spacing w:after="160"/>
              <w:ind w:left="0" w:firstLine="0"/>
            </w:pPr>
          </w:p>
        </w:tc>
      </w:tr>
      <w:tr w:rsidR="00541219" w14:paraId="4E1A3647"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160229E6" w14:textId="77777777" w:rsidR="00541219" w:rsidRDefault="00000000">
            <w:pPr>
              <w:spacing w:after="0"/>
              <w:ind w:left="0" w:firstLine="0"/>
            </w:pPr>
            <w:r>
              <w:rPr>
                <w:sz w:val="8"/>
              </w:rPr>
              <w:t>(Assinado digitalmente)</w:t>
            </w:r>
          </w:p>
          <w:p w14:paraId="6C0E120D" w14:textId="77777777" w:rsidR="00541219" w:rsidRDefault="00000000">
            <w:pPr>
              <w:spacing w:after="0"/>
              <w:ind w:left="0" w:firstLine="0"/>
            </w:pPr>
            <w:r>
              <w:rPr>
                <w:sz w:val="8"/>
              </w:rPr>
              <w:t>MAXWELL MARQUES DE OLIVEIRA Especialista em Regulação - SFT</w:t>
            </w:r>
          </w:p>
        </w:tc>
        <w:tc>
          <w:tcPr>
            <w:tcW w:w="0" w:type="auto"/>
            <w:gridSpan w:val="2"/>
            <w:vMerge/>
            <w:tcBorders>
              <w:top w:val="nil"/>
              <w:left w:val="single" w:sz="3" w:space="0" w:color="000000"/>
              <w:bottom w:val="nil"/>
              <w:right w:val="nil"/>
            </w:tcBorders>
          </w:tcPr>
          <w:p w14:paraId="72D77115" w14:textId="77777777" w:rsidR="00541219" w:rsidRDefault="00541219">
            <w:pPr>
              <w:spacing w:after="160"/>
              <w:ind w:left="0" w:firstLine="0"/>
            </w:pPr>
          </w:p>
        </w:tc>
      </w:tr>
      <w:tr w:rsidR="00541219" w14:paraId="13B84D44"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5EA1212D" w14:textId="77777777" w:rsidR="00541219" w:rsidRDefault="00000000">
            <w:pPr>
              <w:spacing w:after="0"/>
              <w:ind w:left="0" w:firstLine="0"/>
            </w:pPr>
            <w:r>
              <w:rPr>
                <w:sz w:val="8"/>
              </w:rPr>
              <w:t>(Assinado digitalmente)</w:t>
            </w:r>
          </w:p>
          <w:p w14:paraId="66829DF4" w14:textId="77777777" w:rsidR="00541219" w:rsidRDefault="00000000">
            <w:pPr>
              <w:spacing w:after="0"/>
              <w:ind w:left="0" w:firstLine="0"/>
            </w:pPr>
            <w:r>
              <w:rPr>
                <w:sz w:val="8"/>
              </w:rPr>
              <w:t>JAQUELINE GODOY</w:t>
            </w:r>
          </w:p>
          <w:p w14:paraId="3BF274FB" w14:textId="77777777" w:rsidR="00541219" w:rsidRDefault="00000000">
            <w:pPr>
              <w:spacing w:after="0"/>
              <w:ind w:left="0" w:firstLine="0"/>
            </w:pPr>
            <w:r>
              <w:rPr>
                <w:sz w:val="8"/>
              </w:rPr>
              <w:t>Gerente de Fiscalização da Distribuição - SFT</w:t>
            </w:r>
          </w:p>
        </w:tc>
        <w:tc>
          <w:tcPr>
            <w:tcW w:w="0" w:type="auto"/>
            <w:gridSpan w:val="2"/>
            <w:vMerge/>
            <w:tcBorders>
              <w:top w:val="nil"/>
              <w:left w:val="single" w:sz="3" w:space="0" w:color="000000"/>
              <w:bottom w:val="nil"/>
              <w:right w:val="nil"/>
            </w:tcBorders>
          </w:tcPr>
          <w:p w14:paraId="5F7E84C4" w14:textId="77777777" w:rsidR="00541219" w:rsidRDefault="00541219">
            <w:pPr>
              <w:spacing w:after="160"/>
              <w:ind w:left="0" w:firstLine="0"/>
            </w:pPr>
          </w:p>
        </w:tc>
      </w:tr>
      <w:tr w:rsidR="00541219" w14:paraId="24DA4259"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2078D90F" w14:textId="77777777" w:rsidR="00541219" w:rsidRDefault="00000000">
            <w:pPr>
              <w:spacing w:after="0"/>
              <w:ind w:left="0" w:firstLine="0"/>
            </w:pPr>
            <w:r>
              <w:rPr>
                <w:sz w:val="8"/>
              </w:rPr>
              <w:t>(Assinado digitalmente)</w:t>
            </w:r>
          </w:p>
          <w:p w14:paraId="572BE67F" w14:textId="77777777" w:rsidR="00541219" w:rsidRDefault="00000000">
            <w:pPr>
              <w:spacing w:after="0"/>
              <w:ind w:left="0" w:firstLine="0"/>
            </w:pPr>
            <w:r>
              <w:rPr>
                <w:sz w:val="8"/>
              </w:rPr>
              <w:t>FERNANDA PEREIRA DE PAULA Analista Administrativo - SMA</w:t>
            </w:r>
          </w:p>
        </w:tc>
        <w:tc>
          <w:tcPr>
            <w:tcW w:w="0" w:type="auto"/>
            <w:gridSpan w:val="2"/>
            <w:vMerge/>
            <w:tcBorders>
              <w:top w:val="nil"/>
              <w:left w:val="single" w:sz="3" w:space="0" w:color="000000"/>
              <w:bottom w:val="nil"/>
              <w:right w:val="nil"/>
            </w:tcBorders>
          </w:tcPr>
          <w:p w14:paraId="4A366C01" w14:textId="77777777" w:rsidR="00541219" w:rsidRDefault="00541219">
            <w:pPr>
              <w:spacing w:after="160"/>
              <w:ind w:left="0" w:firstLine="0"/>
            </w:pPr>
          </w:p>
        </w:tc>
      </w:tr>
      <w:tr w:rsidR="00541219" w14:paraId="24BD5D69"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64301DF5" w14:textId="77777777" w:rsidR="00541219" w:rsidRDefault="00000000">
            <w:pPr>
              <w:spacing w:after="0"/>
              <w:ind w:left="0" w:firstLine="0"/>
            </w:pPr>
            <w:r>
              <w:rPr>
                <w:sz w:val="8"/>
              </w:rPr>
              <w:t>(Assinado digitalmente)</w:t>
            </w:r>
          </w:p>
          <w:p w14:paraId="24FA20BD" w14:textId="77777777" w:rsidR="00541219" w:rsidRDefault="00000000">
            <w:pPr>
              <w:spacing w:after="0"/>
              <w:ind w:left="0" w:firstLine="0"/>
            </w:pPr>
            <w:r>
              <w:rPr>
                <w:sz w:val="8"/>
              </w:rPr>
              <w:t>GUSTAVO MANGUEIRA DE ANDRADE SALES Superintendente Adjunto - SMA</w:t>
            </w:r>
          </w:p>
        </w:tc>
        <w:tc>
          <w:tcPr>
            <w:tcW w:w="0" w:type="auto"/>
            <w:gridSpan w:val="2"/>
            <w:vMerge/>
            <w:tcBorders>
              <w:top w:val="nil"/>
              <w:left w:val="single" w:sz="3" w:space="0" w:color="000000"/>
              <w:bottom w:val="nil"/>
              <w:right w:val="nil"/>
            </w:tcBorders>
          </w:tcPr>
          <w:p w14:paraId="2AC6B93F" w14:textId="77777777" w:rsidR="00541219" w:rsidRDefault="00541219">
            <w:pPr>
              <w:spacing w:after="160"/>
              <w:ind w:left="0" w:firstLine="0"/>
            </w:pPr>
          </w:p>
        </w:tc>
      </w:tr>
      <w:tr w:rsidR="00541219" w14:paraId="45EC1C8D"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0FB54F7A" w14:textId="77777777" w:rsidR="00541219" w:rsidRDefault="00000000">
            <w:pPr>
              <w:spacing w:after="0"/>
              <w:ind w:left="0" w:firstLine="0"/>
            </w:pPr>
            <w:r>
              <w:rPr>
                <w:sz w:val="8"/>
              </w:rPr>
              <w:t>(Assinado digitalmente)</w:t>
            </w:r>
          </w:p>
          <w:p w14:paraId="39B6B5FD" w14:textId="77777777" w:rsidR="00541219" w:rsidRDefault="00000000">
            <w:pPr>
              <w:spacing w:after="0"/>
              <w:ind w:left="0" w:firstLine="0"/>
            </w:pPr>
            <w:r>
              <w:rPr>
                <w:sz w:val="8"/>
              </w:rPr>
              <w:t>DAVI VIDAL RÔLA ALMEIDA Especialista em Regulação - STD</w:t>
            </w:r>
          </w:p>
        </w:tc>
        <w:tc>
          <w:tcPr>
            <w:tcW w:w="0" w:type="auto"/>
            <w:gridSpan w:val="2"/>
            <w:vMerge/>
            <w:tcBorders>
              <w:top w:val="nil"/>
              <w:left w:val="single" w:sz="3" w:space="0" w:color="000000"/>
              <w:bottom w:val="nil"/>
              <w:right w:val="nil"/>
            </w:tcBorders>
          </w:tcPr>
          <w:p w14:paraId="31708D5E" w14:textId="77777777" w:rsidR="00541219" w:rsidRDefault="00541219">
            <w:pPr>
              <w:spacing w:after="160"/>
              <w:ind w:left="0" w:firstLine="0"/>
            </w:pPr>
          </w:p>
        </w:tc>
      </w:tr>
      <w:tr w:rsidR="00541219" w14:paraId="4473E8FF"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0E10190E" w14:textId="77777777" w:rsidR="00541219" w:rsidRDefault="00000000">
            <w:pPr>
              <w:spacing w:after="0"/>
              <w:ind w:left="0" w:firstLine="0"/>
            </w:pPr>
            <w:r>
              <w:rPr>
                <w:sz w:val="8"/>
              </w:rPr>
              <w:t>(Assinado digitalmente)</w:t>
            </w:r>
          </w:p>
          <w:p w14:paraId="1A9DDAAC" w14:textId="77777777" w:rsidR="00541219" w:rsidRDefault="00000000">
            <w:pPr>
              <w:spacing w:after="0"/>
              <w:ind w:left="0" w:firstLine="0"/>
            </w:pPr>
            <w:r>
              <w:rPr>
                <w:sz w:val="8"/>
              </w:rPr>
              <w:t>RENATO EDUARDO FARIAS DE SOUSA Coordenador de Qualidade na Prestação do Serviço de Distribuição - STD</w:t>
            </w:r>
          </w:p>
        </w:tc>
        <w:tc>
          <w:tcPr>
            <w:tcW w:w="0" w:type="auto"/>
            <w:gridSpan w:val="2"/>
            <w:vMerge/>
            <w:tcBorders>
              <w:top w:val="nil"/>
              <w:left w:val="single" w:sz="3" w:space="0" w:color="000000"/>
              <w:bottom w:val="nil"/>
              <w:right w:val="nil"/>
            </w:tcBorders>
          </w:tcPr>
          <w:p w14:paraId="34DAAEE2" w14:textId="77777777" w:rsidR="00541219" w:rsidRDefault="00541219">
            <w:pPr>
              <w:spacing w:after="160"/>
              <w:ind w:left="0" w:firstLine="0"/>
            </w:pPr>
          </w:p>
        </w:tc>
      </w:tr>
      <w:tr w:rsidR="00541219" w14:paraId="40DE0140"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2DBE50C2" w14:textId="77777777" w:rsidR="00541219" w:rsidRDefault="00000000">
            <w:pPr>
              <w:spacing w:after="0"/>
              <w:ind w:left="0" w:firstLine="0"/>
            </w:pPr>
            <w:r>
              <w:rPr>
                <w:sz w:val="8"/>
              </w:rPr>
              <w:t>(Assinado digitalmente)</w:t>
            </w:r>
          </w:p>
          <w:p w14:paraId="792CFF4F" w14:textId="77777777" w:rsidR="00541219" w:rsidRDefault="00000000">
            <w:pPr>
              <w:spacing w:after="0"/>
              <w:ind w:left="0" w:firstLine="0"/>
            </w:pPr>
            <w:r>
              <w:rPr>
                <w:sz w:val="8"/>
              </w:rPr>
              <w:t>AILSON DE SOUZA BARBOSA Especialista em Regulação - STD</w:t>
            </w:r>
          </w:p>
        </w:tc>
        <w:tc>
          <w:tcPr>
            <w:tcW w:w="0" w:type="auto"/>
            <w:gridSpan w:val="2"/>
            <w:vMerge/>
            <w:tcBorders>
              <w:top w:val="nil"/>
              <w:left w:val="single" w:sz="3" w:space="0" w:color="000000"/>
              <w:bottom w:val="nil"/>
              <w:right w:val="nil"/>
            </w:tcBorders>
          </w:tcPr>
          <w:p w14:paraId="4E4B7BED" w14:textId="77777777" w:rsidR="00541219" w:rsidRDefault="00541219">
            <w:pPr>
              <w:spacing w:after="160"/>
              <w:ind w:left="0" w:firstLine="0"/>
            </w:pPr>
          </w:p>
        </w:tc>
      </w:tr>
      <w:tr w:rsidR="00541219" w14:paraId="78CE3112"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1FE2B909" w14:textId="77777777" w:rsidR="00541219" w:rsidRDefault="00000000">
            <w:pPr>
              <w:spacing w:after="0"/>
              <w:ind w:left="0" w:firstLine="0"/>
            </w:pPr>
            <w:r>
              <w:rPr>
                <w:sz w:val="8"/>
              </w:rPr>
              <w:t>(Assinado digitalmente)</w:t>
            </w:r>
          </w:p>
          <w:p w14:paraId="57E15E5E" w14:textId="77777777" w:rsidR="00541219" w:rsidRDefault="00000000">
            <w:pPr>
              <w:spacing w:after="0"/>
              <w:ind w:left="0" w:firstLine="0"/>
            </w:pPr>
            <w:r>
              <w:rPr>
                <w:sz w:val="8"/>
              </w:rPr>
              <w:t>DANIEL JOSÉ JUSTI BEGO Coordenador de Acesso ao Sistema e Atendimento ao Consumidor - STD</w:t>
            </w:r>
          </w:p>
        </w:tc>
        <w:tc>
          <w:tcPr>
            <w:tcW w:w="0" w:type="auto"/>
            <w:gridSpan w:val="2"/>
            <w:vMerge/>
            <w:tcBorders>
              <w:top w:val="nil"/>
              <w:left w:val="single" w:sz="3" w:space="0" w:color="000000"/>
              <w:bottom w:val="nil"/>
              <w:right w:val="nil"/>
            </w:tcBorders>
          </w:tcPr>
          <w:p w14:paraId="7BEE1CA7" w14:textId="77777777" w:rsidR="00541219" w:rsidRDefault="00541219">
            <w:pPr>
              <w:spacing w:after="160"/>
              <w:ind w:left="0" w:firstLine="0"/>
            </w:pPr>
          </w:p>
        </w:tc>
      </w:tr>
      <w:tr w:rsidR="00541219" w14:paraId="1485B346" w14:textId="77777777">
        <w:trPr>
          <w:trHeight w:val="281"/>
        </w:trPr>
        <w:tc>
          <w:tcPr>
            <w:tcW w:w="5344" w:type="dxa"/>
            <w:tcBorders>
              <w:top w:val="single" w:sz="3" w:space="0" w:color="000000"/>
              <w:left w:val="single" w:sz="3" w:space="0" w:color="000000"/>
              <w:bottom w:val="single" w:sz="3" w:space="0" w:color="000000"/>
              <w:right w:val="single" w:sz="3" w:space="0" w:color="000000"/>
            </w:tcBorders>
          </w:tcPr>
          <w:p w14:paraId="193D69DD" w14:textId="77777777" w:rsidR="00541219" w:rsidRDefault="00000000">
            <w:pPr>
              <w:spacing w:after="0"/>
              <w:ind w:left="0" w:firstLine="0"/>
            </w:pPr>
            <w:r>
              <w:rPr>
                <w:sz w:val="8"/>
              </w:rPr>
              <w:t>(Assinado digitalmente)</w:t>
            </w:r>
          </w:p>
          <w:p w14:paraId="64131388" w14:textId="77777777" w:rsidR="00541219" w:rsidRDefault="00000000">
            <w:pPr>
              <w:spacing w:after="0"/>
              <w:ind w:left="0" w:firstLine="0"/>
            </w:pPr>
            <w:r>
              <w:rPr>
                <w:sz w:val="8"/>
              </w:rPr>
              <w:t>PEDRO MELLO LOMBARDI</w:t>
            </w:r>
          </w:p>
          <w:p w14:paraId="4AE136DA" w14:textId="77777777" w:rsidR="00541219" w:rsidRDefault="00000000">
            <w:pPr>
              <w:spacing w:after="0"/>
              <w:ind w:left="0" w:firstLine="0"/>
            </w:pPr>
            <w:r>
              <w:rPr>
                <w:sz w:val="8"/>
              </w:rPr>
              <w:t>Gerente de Regulação do Serviço de Distribuição - STD</w:t>
            </w:r>
          </w:p>
        </w:tc>
        <w:tc>
          <w:tcPr>
            <w:tcW w:w="0" w:type="auto"/>
            <w:gridSpan w:val="2"/>
            <w:vMerge/>
            <w:tcBorders>
              <w:top w:val="nil"/>
              <w:left w:val="single" w:sz="3" w:space="0" w:color="000000"/>
              <w:bottom w:val="nil"/>
              <w:right w:val="nil"/>
            </w:tcBorders>
          </w:tcPr>
          <w:p w14:paraId="3D0218FF" w14:textId="77777777" w:rsidR="00541219" w:rsidRDefault="00541219">
            <w:pPr>
              <w:spacing w:after="160"/>
              <w:ind w:left="0" w:firstLine="0"/>
            </w:pPr>
          </w:p>
        </w:tc>
      </w:tr>
      <w:tr w:rsidR="00541219" w14:paraId="1DA7FAE0"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683B4697" w14:textId="77777777" w:rsidR="00541219" w:rsidRDefault="00000000">
            <w:pPr>
              <w:spacing w:after="0"/>
              <w:ind w:left="0" w:firstLine="0"/>
            </w:pPr>
            <w:r>
              <w:rPr>
                <w:sz w:val="8"/>
              </w:rPr>
              <w:t>(Assinado digitalmente)</w:t>
            </w:r>
          </w:p>
          <w:p w14:paraId="450FF79B" w14:textId="77777777" w:rsidR="00541219" w:rsidRDefault="00000000">
            <w:pPr>
              <w:spacing w:after="0"/>
              <w:ind w:left="0" w:firstLine="0"/>
            </w:pPr>
            <w:r>
              <w:rPr>
                <w:sz w:val="8"/>
              </w:rPr>
              <w:t>CARLOS EDUARDO BARREIRA FIRMEZA DE BRITO Coordenador de Eficiência Energética - STE</w:t>
            </w:r>
          </w:p>
        </w:tc>
        <w:tc>
          <w:tcPr>
            <w:tcW w:w="0" w:type="auto"/>
            <w:gridSpan w:val="2"/>
            <w:vMerge/>
            <w:tcBorders>
              <w:top w:val="nil"/>
              <w:left w:val="single" w:sz="3" w:space="0" w:color="000000"/>
              <w:bottom w:val="nil"/>
              <w:right w:val="nil"/>
            </w:tcBorders>
          </w:tcPr>
          <w:p w14:paraId="109ACC9A" w14:textId="77777777" w:rsidR="00541219" w:rsidRDefault="00541219">
            <w:pPr>
              <w:spacing w:after="160"/>
              <w:ind w:left="0" w:firstLine="0"/>
            </w:pPr>
          </w:p>
        </w:tc>
      </w:tr>
      <w:tr w:rsidR="00541219" w14:paraId="410CC05E"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50502F6D" w14:textId="77777777" w:rsidR="00541219" w:rsidRDefault="00000000">
            <w:pPr>
              <w:spacing w:after="0"/>
              <w:ind w:left="0" w:firstLine="0"/>
            </w:pPr>
            <w:r>
              <w:rPr>
                <w:sz w:val="8"/>
              </w:rPr>
              <w:t>(Assinado digitalmente)</w:t>
            </w:r>
          </w:p>
          <w:p w14:paraId="2F385073" w14:textId="77777777" w:rsidR="00541219" w:rsidRDefault="00000000">
            <w:pPr>
              <w:spacing w:after="0"/>
              <w:ind w:left="0" w:firstLine="0"/>
            </w:pPr>
            <w:r>
              <w:rPr>
                <w:sz w:val="8"/>
              </w:rPr>
              <w:t>CARMEN SILVIA SANCHES Secretária Adjunta de Inovação e Transição Energética - STE</w:t>
            </w:r>
          </w:p>
        </w:tc>
        <w:tc>
          <w:tcPr>
            <w:tcW w:w="0" w:type="auto"/>
            <w:gridSpan w:val="2"/>
            <w:vMerge/>
            <w:tcBorders>
              <w:top w:val="nil"/>
              <w:left w:val="single" w:sz="3" w:space="0" w:color="000000"/>
              <w:bottom w:val="nil"/>
              <w:right w:val="nil"/>
            </w:tcBorders>
          </w:tcPr>
          <w:p w14:paraId="1E731C2E" w14:textId="77777777" w:rsidR="00541219" w:rsidRDefault="00541219">
            <w:pPr>
              <w:spacing w:after="160"/>
              <w:ind w:left="0" w:firstLine="0"/>
            </w:pPr>
          </w:p>
        </w:tc>
      </w:tr>
      <w:tr w:rsidR="00541219" w14:paraId="2AA4E211"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213C9DB5" w14:textId="77777777" w:rsidR="00541219" w:rsidRDefault="00000000">
            <w:pPr>
              <w:spacing w:after="0"/>
              <w:ind w:left="0" w:firstLine="0"/>
            </w:pPr>
            <w:r>
              <w:rPr>
                <w:sz w:val="8"/>
              </w:rPr>
              <w:t>(Assinado digitalmente)</w:t>
            </w:r>
          </w:p>
          <w:p w14:paraId="2D7AEE24" w14:textId="77777777" w:rsidR="00541219" w:rsidRDefault="00000000">
            <w:pPr>
              <w:spacing w:after="0"/>
              <w:ind w:left="0" w:firstLine="0"/>
            </w:pPr>
            <w:r>
              <w:rPr>
                <w:sz w:val="8"/>
              </w:rPr>
              <w:t>MURILO ANTUNES BRAGA Especialista em Regulação - STR</w:t>
            </w:r>
          </w:p>
        </w:tc>
        <w:tc>
          <w:tcPr>
            <w:tcW w:w="0" w:type="auto"/>
            <w:gridSpan w:val="2"/>
            <w:vMerge/>
            <w:tcBorders>
              <w:top w:val="nil"/>
              <w:left w:val="single" w:sz="3" w:space="0" w:color="000000"/>
              <w:bottom w:val="nil"/>
              <w:right w:val="nil"/>
            </w:tcBorders>
          </w:tcPr>
          <w:p w14:paraId="600E9632" w14:textId="77777777" w:rsidR="00541219" w:rsidRDefault="00541219">
            <w:pPr>
              <w:spacing w:after="160"/>
              <w:ind w:left="0" w:firstLine="0"/>
            </w:pPr>
          </w:p>
        </w:tc>
      </w:tr>
      <w:tr w:rsidR="00541219" w14:paraId="46C8DEEC"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12818137" w14:textId="77777777" w:rsidR="00541219" w:rsidRDefault="00000000">
            <w:pPr>
              <w:spacing w:after="0"/>
              <w:ind w:left="0" w:firstLine="0"/>
            </w:pPr>
            <w:r>
              <w:rPr>
                <w:sz w:val="8"/>
              </w:rPr>
              <w:t>(Assinado digitalmente)</w:t>
            </w:r>
          </w:p>
          <w:p w14:paraId="0D46E90F" w14:textId="77777777" w:rsidR="00541219" w:rsidRDefault="00000000">
            <w:pPr>
              <w:spacing w:after="0"/>
              <w:ind w:left="0" w:firstLine="0"/>
            </w:pPr>
            <w:r>
              <w:rPr>
                <w:sz w:val="8"/>
              </w:rPr>
              <w:t>DIEGO LUÍS BRANCHER Especialista em Regulação - STR</w:t>
            </w:r>
          </w:p>
        </w:tc>
        <w:tc>
          <w:tcPr>
            <w:tcW w:w="0" w:type="auto"/>
            <w:gridSpan w:val="2"/>
            <w:vMerge/>
            <w:tcBorders>
              <w:top w:val="nil"/>
              <w:left w:val="single" w:sz="3" w:space="0" w:color="000000"/>
              <w:bottom w:val="nil"/>
              <w:right w:val="nil"/>
            </w:tcBorders>
          </w:tcPr>
          <w:p w14:paraId="7467A243" w14:textId="77777777" w:rsidR="00541219" w:rsidRDefault="00541219">
            <w:pPr>
              <w:spacing w:after="160"/>
              <w:ind w:left="0" w:firstLine="0"/>
            </w:pPr>
          </w:p>
        </w:tc>
      </w:tr>
      <w:tr w:rsidR="00541219" w14:paraId="2C0BB881"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231CE3DF" w14:textId="77777777" w:rsidR="00541219" w:rsidRDefault="00000000">
            <w:pPr>
              <w:spacing w:after="0"/>
              <w:ind w:left="0" w:firstLine="0"/>
            </w:pPr>
            <w:r>
              <w:rPr>
                <w:sz w:val="8"/>
              </w:rPr>
              <w:t>(Assinado digitalmente)</w:t>
            </w:r>
          </w:p>
          <w:p w14:paraId="265E9736" w14:textId="77777777" w:rsidR="00541219" w:rsidRDefault="00000000">
            <w:pPr>
              <w:spacing w:after="0"/>
              <w:ind w:left="0" w:firstLine="0"/>
            </w:pPr>
            <w:r>
              <w:rPr>
                <w:sz w:val="8"/>
              </w:rPr>
              <w:t>FLÁVIA LIS PEDERNEIRAS Gerente de Gestão tarifária- STR</w:t>
            </w:r>
          </w:p>
        </w:tc>
        <w:tc>
          <w:tcPr>
            <w:tcW w:w="0" w:type="auto"/>
            <w:gridSpan w:val="2"/>
            <w:vMerge/>
            <w:tcBorders>
              <w:top w:val="nil"/>
              <w:left w:val="single" w:sz="3" w:space="0" w:color="000000"/>
              <w:bottom w:val="nil"/>
              <w:right w:val="nil"/>
            </w:tcBorders>
          </w:tcPr>
          <w:p w14:paraId="15DBCB1C" w14:textId="77777777" w:rsidR="00541219" w:rsidRDefault="00541219">
            <w:pPr>
              <w:spacing w:after="160"/>
              <w:ind w:left="0" w:firstLine="0"/>
            </w:pPr>
          </w:p>
        </w:tc>
      </w:tr>
      <w:tr w:rsidR="00541219" w14:paraId="19537502"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58B203B4" w14:textId="77777777" w:rsidR="00541219" w:rsidRDefault="00000000">
            <w:pPr>
              <w:spacing w:after="0"/>
              <w:ind w:left="0" w:firstLine="0"/>
            </w:pPr>
            <w:r>
              <w:rPr>
                <w:sz w:val="8"/>
              </w:rPr>
              <w:t>(Assinado digitalmente)</w:t>
            </w:r>
          </w:p>
          <w:p w14:paraId="4044FE3C" w14:textId="77777777" w:rsidR="00541219" w:rsidRDefault="00000000">
            <w:pPr>
              <w:spacing w:after="0"/>
              <w:ind w:left="0" w:firstLine="0"/>
            </w:pPr>
            <w:r>
              <w:rPr>
                <w:sz w:val="8"/>
              </w:rPr>
              <w:t>ROBSON KUHN YATSU Especialista em Regulação – STR</w:t>
            </w:r>
          </w:p>
        </w:tc>
        <w:tc>
          <w:tcPr>
            <w:tcW w:w="0" w:type="auto"/>
            <w:gridSpan w:val="2"/>
            <w:vMerge/>
            <w:tcBorders>
              <w:top w:val="nil"/>
              <w:left w:val="single" w:sz="3" w:space="0" w:color="000000"/>
              <w:bottom w:val="nil"/>
              <w:right w:val="nil"/>
            </w:tcBorders>
          </w:tcPr>
          <w:p w14:paraId="31DA2894" w14:textId="77777777" w:rsidR="00541219" w:rsidRDefault="00541219">
            <w:pPr>
              <w:spacing w:after="160"/>
              <w:ind w:left="0" w:firstLine="0"/>
            </w:pPr>
          </w:p>
        </w:tc>
      </w:tr>
      <w:tr w:rsidR="00541219" w14:paraId="04294140"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31BC8CE4" w14:textId="77777777" w:rsidR="00541219" w:rsidRDefault="00000000">
            <w:pPr>
              <w:spacing w:after="0"/>
              <w:ind w:left="0" w:firstLine="0"/>
            </w:pPr>
            <w:r>
              <w:rPr>
                <w:sz w:val="8"/>
              </w:rPr>
              <w:t>(Assinado digitalmente)</w:t>
            </w:r>
          </w:p>
          <w:p w14:paraId="2975E564" w14:textId="77777777" w:rsidR="00541219" w:rsidRDefault="00000000">
            <w:pPr>
              <w:spacing w:after="0"/>
              <w:ind w:left="0" w:firstLine="0"/>
            </w:pPr>
            <w:r>
              <w:rPr>
                <w:sz w:val="8"/>
              </w:rPr>
              <w:t>FELIPE AUGUSTO CARDOSO MORAES Gerente de Regulação Econômica - STR</w:t>
            </w:r>
          </w:p>
        </w:tc>
        <w:tc>
          <w:tcPr>
            <w:tcW w:w="0" w:type="auto"/>
            <w:gridSpan w:val="2"/>
            <w:vMerge/>
            <w:tcBorders>
              <w:top w:val="nil"/>
              <w:left w:val="single" w:sz="3" w:space="0" w:color="000000"/>
              <w:bottom w:val="nil"/>
              <w:right w:val="nil"/>
            </w:tcBorders>
          </w:tcPr>
          <w:p w14:paraId="2AEDE9A6" w14:textId="77777777" w:rsidR="00541219" w:rsidRDefault="00541219">
            <w:pPr>
              <w:spacing w:after="160"/>
              <w:ind w:left="0" w:firstLine="0"/>
            </w:pPr>
          </w:p>
        </w:tc>
      </w:tr>
      <w:tr w:rsidR="00541219" w14:paraId="45D332C0"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3DB8F3B7" w14:textId="77777777" w:rsidR="00541219" w:rsidRDefault="00000000">
            <w:pPr>
              <w:spacing w:after="0"/>
              <w:ind w:left="0" w:firstLine="0"/>
            </w:pPr>
            <w:r>
              <w:rPr>
                <w:sz w:val="8"/>
              </w:rPr>
              <w:t>(Assinado digitalmente)</w:t>
            </w:r>
          </w:p>
          <w:p w14:paraId="7B6A878C" w14:textId="77777777" w:rsidR="00541219" w:rsidRDefault="00000000">
            <w:pPr>
              <w:spacing w:after="0"/>
              <w:ind w:left="0" w:firstLine="0"/>
            </w:pPr>
            <w:r>
              <w:rPr>
                <w:sz w:val="8"/>
              </w:rPr>
              <w:t>VICTOR QUEIROZ OLIVEIRA Especialista em Regulação - STR</w:t>
            </w:r>
          </w:p>
        </w:tc>
        <w:tc>
          <w:tcPr>
            <w:tcW w:w="0" w:type="auto"/>
            <w:gridSpan w:val="2"/>
            <w:vMerge/>
            <w:tcBorders>
              <w:top w:val="nil"/>
              <w:left w:val="single" w:sz="3" w:space="0" w:color="000000"/>
              <w:bottom w:val="nil"/>
              <w:right w:val="nil"/>
            </w:tcBorders>
          </w:tcPr>
          <w:p w14:paraId="40DEFE6B" w14:textId="77777777" w:rsidR="00541219" w:rsidRDefault="00541219">
            <w:pPr>
              <w:spacing w:after="160"/>
              <w:ind w:left="0" w:firstLine="0"/>
            </w:pPr>
          </w:p>
        </w:tc>
      </w:tr>
      <w:tr w:rsidR="00541219" w14:paraId="7B0F3252" w14:textId="77777777">
        <w:trPr>
          <w:trHeight w:val="115"/>
        </w:trPr>
        <w:tc>
          <w:tcPr>
            <w:tcW w:w="5344" w:type="dxa"/>
            <w:tcBorders>
              <w:top w:val="single" w:sz="3" w:space="0" w:color="000000"/>
              <w:left w:val="single" w:sz="3" w:space="0" w:color="000000"/>
              <w:bottom w:val="single" w:sz="3" w:space="0" w:color="000000"/>
              <w:right w:val="single" w:sz="3" w:space="0" w:color="000000"/>
            </w:tcBorders>
          </w:tcPr>
          <w:p w14:paraId="524ECE75" w14:textId="77777777" w:rsidR="00541219" w:rsidRDefault="00000000">
            <w:pPr>
              <w:spacing w:after="0"/>
              <w:ind w:left="0" w:firstLine="0"/>
            </w:pPr>
            <w:r>
              <w:t>De acordo:</w:t>
            </w:r>
          </w:p>
        </w:tc>
        <w:tc>
          <w:tcPr>
            <w:tcW w:w="0" w:type="auto"/>
            <w:gridSpan w:val="2"/>
            <w:vMerge/>
            <w:tcBorders>
              <w:top w:val="nil"/>
              <w:left w:val="single" w:sz="3" w:space="0" w:color="000000"/>
              <w:bottom w:val="nil"/>
              <w:right w:val="nil"/>
            </w:tcBorders>
          </w:tcPr>
          <w:p w14:paraId="34534F1F" w14:textId="77777777" w:rsidR="00541219" w:rsidRDefault="00541219">
            <w:pPr>
              <w:spacing w:after="160"/>
              <w:ind w:left="0" w:firstLine="0"/>
            </w:pPr>
          </w:p>
        </w:tc>
      </w:tr>
      <w:tr w:rsidR="00541219" w14:paraId="774D9BEB"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110A80BB" w14:textId="77777777" w:rsidR="00541219" w:rsidRDefault="00000000">
            <w:pPr>
              <w:spacing w:after="0"/>
              <w:ind w:left="0" w:firstLine="0"/>
            </w:pPr>
            <w:r>
              <w:rPr>
                <w:sz w:val="8"/>
              </w:rPr>
              <w:t>(Assinado digitalmente)</w:t>
            </w:r>
          </w:p>
          <w:p w14:paraId="5AF95309" w14:textId="77777777" w:rsidR="00541219" w:rsidRDefault="00000000">
            <w:pPr>
              <w:spacing w:after="0"/>
              <w:ind w:left="0" w:firstLine="0"/>
            </w:pPr>
            <w:r>
              <w:rPr>
                <w:sz w:val="8"/>
              </w:rPr>
              <w:t>LUDIMILA LIMA DA SILVA Superintendente de Concessões, Permissões e Autorizações dos Serviços de Energia Elétrica</w:t>
            </w:r>
          </w:p>
        </w:tc>
        <w:tc>
          <w:tcPr>
            <w:tcW w:w="0" w:type="auto"/>
            <w:gridSpan w:val="2"/>
            <w:vMerge/>
            <w:tcBorders>
              <w:top w:val="nil"/>
              <w:left w:val="single" w:sz="3" w:space="0" w:color="000000"/>
              <w:bottom w:val="nil"/>
              <w:right w:val="nil"/>
            </w:tcBorders>
          </w:tcPr>
          <w:p w14:paraId="29F35697" w14:textId="77777777" w:rsidR="00541219" w:rsidRDefault="00541219">
            <w:pPr>
              <w:spacing w:after="160"/>
              <w:ind w:left="0" w:firstLine="0"/>
            </w:pPr>
          </w:p>
        </w:tc>
      </w:tr>
      <w:tr w:rsidR="00541219" w14:paraId="56A45BFA"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776387FE" w14:textId="77777777" w:rsidR="00541219" w:rsidRDefault="00000000">
            <w:pPr>
              <w:spacing w:after="0"/>
              <w:ind w:left="0" w:firstLine="0"/>
            </w:pPr>
            <w:r>
              <w:rPr>
                <w:sz w:val="8"/>
              </w:rPr>
              <w:t>(Assinado digitalmente)</w:t>
            </w:r>
          </w:p>
          <w:p w14:paraId="406524C4" w14:textId="77777777" w:rsidR="00541219" w:rsidRDefault="00000000">
            <w:pPr>
              <w:spacing w:after="0"/>
              <w:ind w:left="0" w:firstLine="0"/>
            </w:pPr>
            <w:r>
              <w:rPr>
                <w:sz w:val="8"/>
              </w:rPr>
              <w:t>MARIA LUIZA FERREIRA CALDWELL Superintendente de Fiscalização Econômica, Financeira e de Mercado</w:t>
            </w:r>
          </w:p>
        </w:tc>
        <w:tc>
          <w:tcPr>
            <w:tcW w:w="0" w:type="auto"/>
            <w:gridSpan w:val="2"/>
            <w:vMerge/>
            <w:tcBorders>
              <w:top w:val="nil"/>
              <w:left w:val="single" w:sz="3" w:space="0" w:color="000000"/>
              <w:bottom w:val="nil"/>
              <w:right w:val="nil"/>
            </w:tcBorders>
          </w:tcPr>
          <w:p w14:paraId="03405909" w14:textId="77777777" w:rsidR="00541219" w:rsidRDefault="00541219">
            <w:pPr>
              <w:spacing w:after="160"/>
              <w:ind w:left="0" w:firstLine="0"/>
            </w:pPr>
          </w:p>
        </w:tc>
      </w:tr>
      <w:tr w:rsidR="00541219" w14:paraId="3F4F0986"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7A695804" w14:textId="77777777" w:rsidR="00541219" w:rsidRDefault="00000000">
            <w:pPr>
              <w:spacing w:after="0"/>
              <w:ind w:left="0" w:firstLine="0"/>
            </w:pPr>
            <w:r>
              <w:rPr>
                <w:sz w:val="8"/>
              </w:rPr>
              <w:t>(Assinado digitalmente)</w:t>
            </w:r>
          </w:p>
          <w:p w14:paraId="36628C43" w14:textId="77777777" w:rsidR="00541219" w:rsidRDefault="00000000">
            <w:pPr>
              <w:spacing w:after="0"/>
              <w:ind w:left="0" w:firstLine="0"/>
            </w:pPr>
            <w:r>
              <w:rPr>
                <w:sz w:val="8"/>
              </w:rPr>
              <w:t>GIÁCOMO FRANCISCO BASSI ALMEIDA Superintendente de Fiscalização Técnica dos Serviços de Energia Elétrica</w:t>
            </w:r>
          </w:p>
        </w:tc>
        <w:tc>
          <w:tcPr>
            <w:tcW w:w="0" w:type="auto"/>
            <w:gridSpan w:val="2"/>
            <w:vMerge/>
            <w:tcBorders>
              <w:top w:val="nil"/>
              <w:left w:val="single" w:sz="3" w:space="0" w:color="000000"/>
              <w:bottom w:val="nil"/>
              <w:right w:val="nil"/>
            </w:tcBorders>
          </w:tcPr>
          <w:p w14:paraId="7DABB516" w14:textId="77777777" w:rsidR="00541219" w:rsidRDefault="00541219">
            <w:pPr>
              <w:spacing w:after="160"/>
              <w:ind w:left="0" w:firstLine="0"/>
            </w:pPr>
          </w:p>
        </w:tc>
      </w:tr>
      <w:tr w:rsidR="00541219" w14:paraId="4F3C99D8"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562D2F52" w14:textId="77777777" w:rsidR="00541219" w:rsidRDefault="00000000">
            <w:pPr>
              <w:spacing w:after="0"/>
              <w:ind w:left="0" w:firstLine="0"/>
            </w:pPr>
            <w:r>
              <w:rPr>
                <w:sz w:val="8"/>
              </w:rPr>
              <w:t>(Assinado digitalmente)</w:t>
            </w:r>
          </w:p>
          <w:p w14:paraId="1E7D4E3C" w14:textId="77777777" w:rsidR="00541219" w:rsidRDefault="00000000">
            <w:pPr>
              <w:spacing w:after="0"/>
              <w:ind w:left="0" w:firstLine="0"/>
            </w:pPr>
            <w:r>
              <w:rPr>
                <w:sz w:val="8"/>
              </w:rPr>
              <w:t>ANDRÉ RUELLI Superintendente de Mediação Administrativa e das Relações de Consumo</w:t>
            </w:r>
          </w:p>
        </w:tc>
        <w:tc>
          <w:tcPr>
            <w:tcW w:w="0" w:type="auto"/>
            <w:gridSpan w:val="2"/>
            <w:vMerge/>
            <w:tcBorders>
              <w:top w:val="nil"/>
              <w:left w:val="single" w:sz="3" w:space="0" w:color="000000"/>
              <w:bottom w:val="nil"/>
              <w:right w:val="nil"/>
            </w:tcBorders>
          </w:tcPr>
          <w:p w14:paraId="482F076C" w14:textId="77777777" w:rsidR="00541219" w:rsidRDefault="00541219">
            <w:pPr>
              <w:spacing w:after="160"/>
              <w:ind w:left="0" w:firstLine="0"/>
            </w:pPr>
          </w:p>
        </w:tc>
      </w:tr>
      <w:tr w:rsidR="00541219" w14:paraId="029D9EA0"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62E6C49D" w14:textId="77777777" w:rsidR="00541219" w:rsidRDefault="00000000">
            <w:pPr>
              <w:spacing w:after="0"/>
              <w:ind w:left="0" w:firstLine="0"/>
            </w:pPr>
            <w:r>
              <w:rPr>
                <w:sz w:val="8"/>
              </w:rPr>
              <w:t>(Assinado digitalmente)</w:t>
            </w:r>
          </w:p>
          <w:p w14:paraId="4A11B05F" w14:textId="77777777" w:rsidR="00541219" w:rsidRDefault="00000000">
            <w:pPr>
              <w:spacing w:after="0"/>
              <w:ind w:left="0" w:firstLine="0"/>
            </w:pPr>
            <w:r>
              <w:rPr>
                <w:sz w:val="8"/>
              </w:rPr>
              <w:t>CARLOS ALBERTO CALIXTO MATTAR Superintendente de Regulação dos Serviços de Transmissão e Distribuição de Energia Elétrica</w:t>
            </w:r>
          </w:p>
        </w:tc>
        <w:tc>
          <w:tcPr>
            <w:tcW w:w="0" w:type="auto"/>
            <w:gridSpan w:val="2"/>
            <w:vMerge/>
            <w:tcBorders>
              <w:top w:val="nil"/>
              <w:left w:val="single" w:sz="3" w:space="0" w:color="000000"/>
              <w:bottom w:val="nil"/>
              <w:right w:val="nil"/>
            </w:tcBorders>
          </w:tcPr>
          <w:p w14:paraId="23A81796" w14:textId="77777777" w:rsidR="00541219" w:rsidRDefault="00541219">
            <w:pPr>
              <w:spacing w:after="160"/>
              <w:ind w:left="0" w:firstLine="0"/>
            </w:pPr>
          </w:p>
        </w:tc>
      </w:tr>
    </w:tbl>
    <w:p w14:paraId="73DB1E63" w14:textId="77777777" w:rsidR="00541219" w:rsidRDefault="00541219">
      <w:pPr>
        <w:spacing w:after="0"/>
        <w:ind w:left="-1440" w:right="8609" w:firstLine="0"/>
      </w:pPr>
    </w:p>
    <w:tbl>
      <w:tblPr>
        <w:tblStyle w:val="TableGrid"/>
        <w:tblW w:w="10264" w:type="dxa"/>
        <w:tblInd w:w="-688" w:type="dxa"/>
        <w:tblCellMar>
          <w:top w:w="0" w:type="dxa"/>
          <w:left w:w="0" w:type="dxa"/>
          <w:bottom w:w="0" w:type="dxa"/>
          <w:right w:w="85" w:type="dxa"/>
        </w:tblCellMar>
        <w:tblLook w:val="04A0" w:firstRow="1" w:lastRow="0" w:firstColumn="1" w:lastColumn="0" w:noHBand="0" w:noVBand="1"/>
      </w:tblPr>
      <w:tblGrid>
        <w:gridCol w:w="5330"/>
        <w:gridCol w:w="1260"/>
        <w:gridCol w:w="3674"/>
      </w:tblGrid>
      <w:tr w:rsidR="00541219" w14:paraId="33D14A1F" w14:textId="77777777">
        <w:trPr>
          <w:trHeight w:val="150"/>
        </w:trPr>
        <w:tc>
          <w:tcPr>
            <w:tcW w:w="10264" w:type="dxa"/>
            <w:gridSpan w:val="3"/>
            <w:tcBorders>
              <w:top w:val="single" w:sz="6" w:space="0" w:color="000000"/>
              <w:left w:val="single" w:sz="6" w:space="0" w:color="000000"/>
              <w:bottom w:val="single" w:sz="3" w:space="0" w:color="000000"/>
              <w:right w:val="single" w:sz="6" w:space="0" w:color="000000"/>
            </w:tcBorders>
          </w:tcPr>
          <w:p w14:paraId="3829B9FF" w14:textId="77777777" w:rsidR="00541219" w:rsidRDefault="00000000">
            <w:pPr>
              <w:spacing w:after="0"/>
              <w:ind w:left="100" w:firstLine="0"/>
              <w:jc w:val="center"/>
            </w:pPr>
            <w:r>
              <w:rPr>
                <w:color w:val="0000FF"/>
                <w:sz w:val="12"/>
              </w:rPr>
              <w:t>CONTRIBUIÇÃO REFERENTE À CONSULTA PÚBLICA Nº 27/2024</w:t>
            </w:r>
          </w:p>
        </w:tc>
      </w:tr>
      <w:tr w:rsidR="00541219" w14:paraId="7282D0E2" w14:textId="77777777">
        <w:trPr>
          <w:trHeight w:val="149"/>
        </w:trPr>
        <w:tc>
          <w:tcPr>
            <w:tcW w:w="10264" w:type="dxa"/>
            <w:gridSpan w:val="3"/>
            <w:tcBorders>
              <w:top w:val="single" w:sz="3" w:space="0" w:color="000000"/>
              <w:left w:val="single" w:sz="6" w:space="0" w:color="000000"/>
              <w:bottom w:val="single" w:sz="3" w:space="0" w:color="000000"/>
              <w:right w:val="single" w:sz="6" w:space="0" w:color="000000"/>
            </w:tcBorders>
          </w:tcPr>
          <w:p w14:paraId="7F1562F8" w14:textId="77777777" w:rsidR="00541219" w:rsidRDefault="00000000">
            <w:pPr>
              <w:spacing w:after="0"/>
              <w:ind w:left="88" w:firstLine="0"/>
              <w:jc w:val="center"/>
            </w:pPr>
            <w:r>
              <w:rPr>
                <w:color w:val="0000FF"/>
                <w:sz w:val="12"/>
              </w:rPr>
              <w:t>NOME DA INSTITUIÇÃO: CONCEN Conselho de Consumidores da Energisa Mato Grosso do Sul</w:t>
            </w:r>
          </w:p>
        </w:tc>
      </w:tr>
      <w:tr w:rsidR="00541219" w14:paraId="18592620" w14:textId="77777777">
        <w:trPr>
          <w:trHeight w:val="149"/>
        </w:trPr>
        <w:tc>
          <w:tcPr>
            <w:tcW w:w="10264" w:type="dxa"/>
            <w:gridSpan w:val="3"/>
            <w:tcBorders>
              <w:top w:val="single" w:sz="3" w:space="0" w:color="000000"/>
              <w:left w:val="single" w:sz="6" w:space="0" w:color="000000"/>
              <w:bottom w:val="single" w:sz="3" w:space="0" w:color="000000"/>
              <w:right w:val="single" w:sz="6" w:space="0" w:color="000000"/>
            </w:tcBorders>
          </w:tcPr>
          <w:p w14:paraId="1F9453A2" w14:textId="77777777" w:rsidR="00541219" w:rsidRDefault="00000000">
            <w:pPr>
              <w:tabs>
                <w:tab w:val="center" w:pos="645"/>
                <w:tab w:val="center" w:pos="5141"/>
              </w:tabs>
              <w:spacing w:after="0"/>
              <w:ind w:left="0" w:firstLine="0"/>
            </w:pPr>
            <w:r>
              <w:rPr>
                <w:rFonts w:ascii="Calibri" w:eastAsia="Calibri" w:hAnsi="Calibri" w:cs="Calibri"/>
                <w:sz w:val="22"/>
              </w:rPr>
              <w:tab/>
            </w:r>
            <w:r>
              <w:rPr>
                <w:noProof/>
              </w:rPr>
              <w:drawing>
                <wp:inline distT="0" distB="0" distL="0" distR="0" wp14:anchorId="17223D1F" wp14:editId="178F808B">
                  <wp:extent cx="585216" cy="362712"/>
                  <wp:effectExtent l="0" t="0" r="0" b="0"/>
                  <wp:docPr id="5184" name="Picture 5184"/>
                  <wp:cNvGraphicFramePr/>
                  <a:graphic xmlns:a="http://schemas.openxmlformats.org/drawingml/2006/main">
                    <a:graphicData uri="http://schemas.openxmlformats.org/drawingml/2006/picture">
                      <pic:pic xmlns:pic="http://schemas.openxmlformats.org/drawingml/2006/picture">
                        <pic:nvPicPr>
                          <pic:cNvPr id="5184" name="Picture 5184"/>
                          <pic:cNvPicPr/>
                        </pic:nvPicPr>
                        <pic:blipFill>
                          <a:blip r:embed="rId5"/>
                          <a:stretch>
                            <a:fillRect/>
                          </a:stretch>
                        </pic:blipFill>
                        <pic:spPr>
                          <a:xfrm>
                            <a:off x="0" y="0"/>
                            <a:ext cx="585216" cy="362712"/>
                          </a:xfrm>
                          <a:prstGeom prst="rect">
                            <a:avLst/>
                          </a:prstGeom>
                        </pic:spPr>
                      </pic:pic>
                    </a:graphicData>
                  </a:graphic>
                </wp:inline>
              </w:drawing>
            </w:r>
            <w:r>
              <w:rPr>
                <w:color w:val="0000FF"/>
                <w:sz w:val="12"/>
              </w:rPr>
              <w:tab/>
              <w:t>AGÊNCIA NACIONAL DE ENERGIA ELÉTRICA – ANEEL</w:t>
            </w:r>
          </w:p>
        </w:tc>
      </w:tr>
      <w:tr w:rsidR="00541219" w14:paraId="54B134D4" w14:textId="77777777">
        <w:trPr>
          <w:trHeight w:val="178"/>
        </w:trPr>
        <w:tc>
          <w:tcPr>
            <w:tcW w:w="10264" w:type="dxa"/>
            <w:gridSpan w:val="3"/>
            <w:tcBorders>
              <w:top w:val="single" w:sz="3" w:space="0" w:color="000000"/>
              <w:left w:val="single" w:sz="6" w:space="0" w:color="000000"/>
              <w:bottom w:val="single" w:sz="3" w:space="0" w:color="000000"/>
              <w:right w:val="single" w:sz="6" w:space="0" w:color="000000"/>
            </w:tcBorders>
          </w:tcPr>
          <w:p w14:paraId="2F185CE9" w14:textId="77777777" w:rsidR="00541219" w:rsidRDefault="00000000">
            <w:pPr>
              <w:spacing w:after="0"/>
              <w:ind w:left="98" w:firstLine="0"/>
              <w:jc w:val="center"/>
            </w:pPr>
            <w:r>
              <w:rPr>
                <w:color w:val="0000FF"/>
              </w:rPr>
              <w:t>NOTA TÉCNICA nº 1.056/2024-SCE-SFF-SFT-SMA-STE-STD-STR/ANEEL de 09 de outubro de 2024.</w:t>
            </w:r>
          </w:p>
        </w:tc>
      </w:tr>
      <w:tr w:rsidR="00541219" w14:paraId="3A3727E4" w14:textId="77777777">
        <w:trPr>
          <w:trHeight w:val="194"/>
        </w:trPr>
        <w:tc>
          <w:tcPr>
            <w:tcW w:w="10264" w:type="dxa"/>
            <w:gridSpan w:val="3"/>
            <w:tcBorders>
              <w:top w:val="single" w:sz="3" w:space="0" w:color="000000"/>
              <w:left w:val="single" w:sz="6" w:space="0" w:color="000000"/>
              <w:bottom w:val="single" w:sz="3" w:space="0" w:color="000000"/>
              <w:right w:val="single" w:sz="6" w:space="0" w:color="000000"/>
            </w:tcBorders>
          </w:tcPr>
          <w:p w14:paraId="2D448F38" w14:textId="77777777" w:rsidR="00541219" w:rsidRDefault="00000000">
            <w:pPr>
              <w:spacing w:after="0"/>
              <w:ind w:left="86" w:firstLine="0"/>
              <w:jc w:val="center"/>
            </w:pPr>
            <w:r>
              <w:rPr>
                <w:color w:val="0000FF"/>
              </w:rPr>
              <w:t xml:space="preserve">                                                               EMENTA: Obter subsídios para o aprimoramento da minuta de termo aditivo ao contrato de concessão de distribuição de energia elétrica com vistas à prorrogação das concessões.</w:t>
            </w:r>
          </w:p>
        </w:tc>
      </w:tr>
      <w:tr w:rsidR="00541219" w14:paraId="7D6F9355" w14:textId="77777777">
        <w:trPr>
          <w:trHeight w:val="132"/>
        </w:trPr>
        <w:tc>
          <w:tcPr>
            <w:tcW w:w="10264" w:type="dxa"/>
            <w:gridSpan w:val="3"/>
            <w:tcBorders>
              <w:top w:val="single" w:sz="3" w:space="0" w:color="000000"/>
              <w:left w:val="single" w:sz="6" w:space="0" w:color="000000"/>
              <w:bottom w:val="single" w:sz="3" w:space="0" w:color="000000"/>
              <w:right w:val="single" w:sz="6" w:space="0" w:color="000000"/>
            </w:tcBorders>
          </w:tcPr>
          <w:p w14:paraId="710239C8" w14:textId="77777777" w:rsidR="00541219" w:rsidRDefault="00000000">
            <w:pPr>
              <w:spacing w:after="0"/>
              <w:ind w:left="85" w:firstLine="0"/>
              <w:jc w:val="center"/>
            </w:pPr>
            <w:r>
              <w:rPr>
                <w:color w:val="0000FF"/>
                <w:sz w:val="11"/>
              </w:rPr>
              <w:t>CONTRIBUIÇÕES RECEBIDAS</w:t>
            </w:r>
          </w:p>
        </w:tc>
      </w:tr>
      <w:tr w:rsidR="00541219" w14:paraId="4BA7ED42" w14:textId="77777777">
        <w:trPr>
          <w:trHeight w:val="275"/>
        </w:trPr>
        <w:tc>
          <w:tcPr>
            <w:tcW w:w="10264" w:type="dxa"/>
            <w:gridSpan w:val="3"/>
            <w:tcBorders>
              <w:top w:val="single" w:sz="3" w:space="0" w:color="000000"/>
              <w:left w:val="single" w:sz="6" w:space="0" w:color="000000"/>
              <w:bottom w:val="single" w:sz="6" w:space="0" w:color="000000"/>
              <w:right w:val="single" w:sz="6" w:space="0" w:color="000000"/>
            </w:tcBorders>
          </w:tcPr>
          <w:p w14:paraId="3C741073" w14:textId="77777777" w:rsidR="00541219" w:rsidRDefault="00000000">
            <w:pPr>
              <w:spacing w:after="0"/>
              <w:ind w:left="19" w:firstLine="0"/>
            </w:pPr>
            <w:r>
              <w:t>IMPORTANTE: Os comentários e sugestões referentes às contribuições deverão ser fundamentados e justificados, mencionando-se os artigos, parágrafos e incisos a que se referem, devendo ser acompanhados de textos alternativos e substitutivos quando envolverem sugestões de inclusão ou alteração, parcial ou total, de qualquer dispositivo.</w:t>
            </w:r>
          </w:p>
        </w:tc>
      </w:tr>
      <w:tr w:rsidR="00541219" w14:paraId="689F2653" w14:textId="77777777">
        <w:trPr>
          <w:trHeight w:val="213"/>
        </w:trPr>
        <w:tc>
          <w:tcPr>
            <w:tcW w:w="5344" w:type="dxa"/>
            <w:tcBorders>
              <w:top w:val="single" w:sz="6" w:space="0" w:color="000000"/>
              <w:left w:val="single" w:sz="6" w:space="0" w:color="000000"/>
              <w:bottom w:val="double" w:sz="4" w:space="0" w:color="000000"/>
              <w:right w:val="single" w:sz="6" w:space="0" w:color="000000"/>
            </w:tcBorders>
            <w:shd w:val="clear" w:color="auto" w:fill="FF0000"/>
          </w:tcPr>
          <w:p w14:paraId="0445E2E2" w14:textId="77777777" w:rsidR="00541219" w:rsidRDefault="00000000">
            <w:pPr>
              <w:spacing w:after="0"/>
              <w:ind w:left="87" w:firstLine="0"/>
              <w:jc w:val="center"/>
            </w:pPr>
            <w:r>
              <w:rPr>
                <w:color w:val="FFFFFF"/>
                <w:sz w:val="11"/>
              </w:rPr>
              <w:t xml:space="preserve">TEXTO/ANEEL </w:t>
            </w:r>
          </w:p>
        </w:tc>
        <w:tc>
          <w:tcPr>
            <w:tcW w:w="1229" w:type="dxa"/>
            <w:tcBorders>
              <w:top w:val="single" w:sz="6" w:space="0" w:color="000000"/>
              <w:left w:val="single" w:sz="6" w:space="0" w:color="000000"/>
              <w:bottom w:val="single" w:sz="6" w:space="0" w:color="000000"/>
              <w:right w:val="single" w:sz="6" w:space="0" w:color="000000"/>
            </w:tcBorders>
            <w:shd w:val="clear" w:color="auto" w:fill="FF0000"/>
          </w:tcPr>
          <w:p w14:paraId="081DACC8" w14:textId="77777777" w:rsidR="00541219" w:rsidRDefault="00000000">
            <w:pPr>
              <w:spacing w:after="0"/>
              <w:ind w:left="89" w:firstLine="0"/>
            </w:pPr>
            <w:r>
              <w:rPr>
                <w:color w:val="FFFFFF"/>
                <w:sz w:val="11"/>
              </w:rPr>
              <w:t>TEXTO/INSTITUIÇÃO</w:t>
            </w:r>
          </w:p>
        </w:tc>
        <w:tc>
          <w:tcPr>
            <w:tcW w:w="3691" w:type="dxa"/>
            <w:tcBorders>
              <w:top w:val="single" w:sz="6" w:space="0" w:color="000000"/>
              <w:left w:val="single" w:sz="6" w:space="0" w:color="000000"/>
              <w:bottom w:val="single" w:sz="6" w:space="0" w:color="000000"/>
              <w:right w:val="single" w:sz="6" w:space="0" w:color="000000"/>
            </w:tcBorders>
            <w:shd w:val="clear" w:color="auto" w:fill="FF0000"/>
          </w:tcPr>
          <w:p w14:paraId="757A1C5E" w14:textId="77777777" w:rsidR="00541219" w:rsidRDefault="00000000">
            <w:pPr>
              <w:spacing w:after="0"/>
              <w:ind w:left="105" w:firstLine="0"/>
              <w:jc w:val="center"/>
            </w:pPr>
            <w:r>
              <w:rPr>
                <w:color w:val="FFFFFF"/>
                <w:sz w:val="11"/>
              </w:rPr>
              <w:t>JUSTIFICATIVA/INSTITUIÇÃO</w:t>
            </w:r>
          </w:p>
        </w:tc>
      </w:tr>
      <w:tr w:rsidR="00541219" w14:paraId="5A9D5C5F" w14:textId="77777777">
        <w:trPr>
          <w:trHeight w:val="198"/>
        </w:trPr>
        <w:tc>
          <w:tcPr>
            <w:tcW w:w="5344" w:type="dxa"/>
            <w:tcBorders>
              <w:top w:val="double" w:sz="4" w:space="0" w:color="000000"/>
              <w:left w:val="single" w:sz="3" w:space="0" w:color="000000"/>
              <w:bottom w:val="single" w:sz="3" w:space="0" w:color="000000"/>
              <w:right w:val="single" w:sz="3" w:space="0" w:color="000000"/>
            </w:tcBorders>
          </w:tcPr>
          <w:p w14:paraId="3C8E38CF" w14:textId="77777777" w:rsidR="00541219" w:rsidRDefault="00000000">
            <w:pPr>
              <w:spacing w:after="0"/>
              <w:ind w:left="19" w:firstLine="0"/>
            </w:pPr>
            <w:r>
              <w:rPr>
                <w:sz w:val="8"/>
              </w:rPr>
              <w:t>(Assinado digitalmente)</w:t>
            </w:r>
          </w:p>
          <w:p w14:paraId="3726444D" w14:textId="77777777" w:rsidR="00541219" w:rsidRDefault="00000000">
            <w:pPr>
              <w:spacing w:after="0"/>
              <w:ind w:left="19" w:firstLine="0"/>
            </w:pPr>
            <w:r>
              <w:rPr>
                <w:sz w:val="8"/>
              </w:rPr>
              <w:t>PAULO LUCIANO DE CARVALHO Secretário de Inovação e Transição Energética</w:t>
            </w:r>
          </w:p>
        </w:tc>
        <w:tc>
          <w:tcPr>
            <w:tcW w:w="4920" w:type="dxa"/>
            <w:gridSpan w:val="2"/>
            <w:vMerge w:val="restart"/>
            <w:tcBorders>
              <w:top w:val="single" w:sz="6" w:space="0" w:color="000000"/>
              <w:left w:val="single" w:sz="3" w:space="0" w:color="000000"/>
              <w:bottom w:val="nil"/>
              <w:right w:val="nil"/>
            </w:tcBorders>
          </w:tcPr>
          <w:p w14:paraId="5217156A" w14:textId="77777777" w:rsidR="00541219" w:rsidRDefault="00541219">
            <w:pPr>
              <w:spacing w:after="160"/>
              <w:ind w:left="0" w:firstLine="0"/>
            </w:pPr>
          </w:p>
        </w:tc>
      </w:tr>
      <w:tr w:rsidR="00541219" w14:paraId="44D163A3" w14:textId="77777777">
        <w:trPr>
          <w:trHeight w:val="187"/>
        </w:trPr>
        <w:tc>
          <w:tcPr>
            <w:tcW w:w="5344" w:type="dxa"/>
            <w:tcBorders>
              <w:top w:val="single" w:sz="3" w:space="0" w:color="000000"/>
              <w:left w:val="single" w:sz="3" w:space="0" w:color="000000"/>
              <w:bottom w:val="single" w:sz="3" w:space="0" w:color="000000"/>
              <w:right w:val="single" w:sz="3" w:space="0" w:color="000000"/>
            </w:tcBorders>
          </w:tcPr>
          <w:p w14:paraId="61ED92AF" w14:textId="77777777" w:rsidR="00541219" w:rsidRDefault="00000000">
            <w:pPr>
              <w:spacing w:after="0"/>
              <w:ind w:left="19" w:firstLine="0"/>
            </w:pPr>
            <w:r>
              <w:rPr>
                <w:sz w:val="8"/>
              </w:rPr>
              <w:t>(Assinado digitalmente)</w:t>
            </w:r>
          </w:p>
          <w:p w14:paraId="72212C2C" w14:textId="77777777" w:rsidR="00541219" w:rsidRDefault="00000000">
            <w:pPr>
              <w:spacing w:after="0"/>
              <w:ind w:left="19" w:firstLine="0"/>
            </w:pPr>
            <w:r>
              <w:rPr>
                <w:sz w:val="8"/>
              </w:rPr>
              <w:t>CAMILA FIGUEIREDO BOMFIM LOPES Superintendente de Gestão Tarifária e Regulação Econômica</w:t>
            </w:r>
          </w:p>
        </w:tc>
        <w:tc>
          <w:tcPr>
            <w:tcW w:w="0" w:type="auto"/>
            <w:gridSpan w:val="2"/>
            <w:vMerge/>
            <w:tcBorders>
              <w:top w:val="nil"/>
              <w:left w:val="single" w:sz="3" w:space="0" w:color="000000"/>
              <w:bottom w:val="nil"/>
              <w:right w:val="nil"/>
            </w:tcBorders>
          </w:tcPr>
          <w:p w14:paraId="7DA883B3" w14:textId="77777777" w:rsidR="00541219" w:rsidRDefault="00541219">
            <w:pPr>
              <w:spacing w:after="160"/>
              <w:ind w:left="0" w:firstLine="0"/>
            </w:pPr>
          </w:p>
        </w:tc>
      </w:tr>
      <w:tr w:rsidR="00541219" w14:paraId="67EE3ECC" w14:textId="77777777">
        <w:trPr>
          <w:trHeight w:val="94"/>
        </w:trPr>
        <w:tc>
          <w:tcPr>
            <w:tcW w:w="5344" w:type="dxa"/>
            <w:tcBorders>
              <w:top w:val="single" w:sz="3" w:space="0" w:color="000000"/>
              <w:left w:val="single" w:sz="3" w:space="0" w:color="000000"/>
              <w:bottom w:val="single" w:sz="3" w:space="0" w:color="000000"/>
              <w:right w:val="single" w:sz="3" w:space="0" w:color="000000"/>
            </w:tcBorders>
          </w:tcPr>
          <w:p w14:paraId="2FE83690" w14:textId="77777777" w:rsidR="00541219" w:rsidRDefault="00541219">
            <w:pPr>
              <w:spacing w:after="160"/>
              <w:ind w:left="0" w:firstLine="0"/>
            </w:pPr>
          </w:p>
        </w:tc>
        <w:tc>
          <w:tcPr>
            <w:tcW w:w="0" w:type="auto"/>
            <w:gridSpan w:val="2"/>
            <w:vMerge/>
            <w:tcBorders>
              <w:top w:val="nil"/>
              <w:left w:val="single" w:sz="3" w:space="0" w:color="000000"/>
              <w:bottom w:val="nil"/>
              <w:right w:val="nil"/>
            </w:tcBorders>
          </w:tcPr>
          <w:p w14:paraId="7A81FDB0" w14:textId="77777777" w:rsidR="00541219" w:rsidRDefault="00541219">
            <w:pPr>
              <w:spacing w:after="160"/>
              <w:ind w:left="0" w:firstLine="0"/>
            </w:pPr>
          </w:p>
        </w:tc>
      </w:tr>
      <w:tr w:rsidR="00541219" w14:paraId="26C7F737" w14:textId="77777777">
        <w:trPr>
          <w:trHeight w:val="298"/>
        </w:trPr>
        <w:tc>
          <w:tcPr>
            <w:tcW w:w="5344" w:type="dxa"/>
            <w:tcBorders>
              <w:top w:val="single" w:sz="3" w:space="0" w:color="000000"/>
              <w:left w:val="single" w:sz="3" w:space="0" w:color="000000"/>
              <w:bottom w:val="single" w:sz="3" w:space="0" w:color="000000"/>
              <w:right w:val="single" w:sz="3" w:space="0" w:color="000000"/>
            </w:tcBorders>
            <w:shd w:val="clear" w:color="auto" w:fill="D9E7FD"/>
          </w:tcPr>
          <w:p w14:paraId="39EC0DAC" w14:textId="77777777" w:rsidR="00541219" w:rsidRDefault="00000000">
            <w:pPr>
              <w:spacing w:after="0"/>
              <w:ind w:left="23" w:firstLine="0"/>
            </w:pPr>
            <w:r>
              <w:rPr>
                <w:sz w:val="12"/>
              </w:rPr>
              <w:t>ANEXO I: MAPEAMENTO DAS DISPOSIÇÕES DO DECRETO Nº 12.068/2024 NA MINUTA DO TERMO ADITIVO</w:t>
            </w:r>
          </w:p>
        </w:tc>
        <w:tc>
          <w:tcPr>
            <w:tcW w:w="0" w:type="auto"/>
            <w:gridSpan w:val="2"/>
            <w:vMerge/>
            <w:tcBorders>
              <w:top w:val="nil"/>
              <w:left w:val="single" w:sz="3" w:space="0" w:color="000000"/>
              <w:bottom w:val="nil"/>
              <w:right w:val="nil"/>
            </w:tcBorders>
          </w:tcPr>
          <w:p w14:paraId="2FD5591A" w14:textId="77777777" w:rsidR="00541219" w:rsidRDefault="00541219">
            <w:pPr>
              <w:spacing w:after="160"/>
              <w:ind w:left="0" w:firstLine="0"/>
            </w:pPr>
          </w:p>
        </w:tc>
      </w:tr>
      <w:tr w:rsidR="00541219" w14:paraId="0C701A5B" w14:textId="77777777">
        <w:trPr>
          <w:trHeight w:val="1956"/>
        </w:trPr>
        <w:tc>
          <w:tcPr>
            <w:tcW w:w="5344" w:type="dxa"/>
            <w:tcBorders>
              <w:top w:val="single" w:sz="3" w:space="0" w:color="000000"/>
              <w:left w:val="single" w:sz="3" w:space="0" w:color="000000"/>
              <w:bottom w:val="single" w:sz="3" w:space="0" w:color="000000"/>
              <w:right w:val="single" w:sz="3" w:space="0" w:color="000000"/>
            </w:tcBorders>
          </w:tcPr>
          <w:p w14:paraId="6063B85E" w14:textId="77777777" w:rsidR="00541219" w:rsidRDefault="00000000">
            <w:pPr>
              <w:spacing w:after="0"/>
              <w:ind w:left="76" w:firstLine="0"/>
            </w:pPr>
            <w:r>
              <w:rPr>
                <w:noProof/>
              </w:rPr>
              <w:drawing>
                <wp:inline distT="0" distB="0" distL="0" distR="0" wp14:anchorId="77430366" wp14:editId="60E65504">
                  <wp:extent cx="2218944" cy="1164336"/>
                  <wp:effectExtent l="0" t="0" r="0" b="0"/>
                  <wp:docPr id="5205" name="Picture 5205"/>
                  <wp:cNvGraphicFramePr/>
                  <a:graphic xmlns:a="http://schemas.openxmlformats.org/drawingml/2006/main">
                    <a:graphicData uri="http://schemas.openxmlformats.org/drawingml/2006/picture">
                      <pic:pic xmlns:pic="http://schemas.openxmlformats.org/drawingml/2006/picture">
                        <pic:nvPicPr>
                          <pic:cNvPr id="5205" name="Picture 5205"/>
                          <pic:cNvPicPr/>
                        </pic:nvPicPr>
                        <pic:blipFill>
                          <a:blip r:embed="rId12"/>
                          <a:stretch>
                            <a:fillRect/>
                          </a:stretch>
                        </pic:blipFill>
                        <pic:spPr>
                          <a:xfrm>
                            <a:off x="0" y="0"/>
                            <a:ext cx="2218944" cy="1164336"/>
                          </a:xfrm>
                          <a:prstGeom prst="rect">
                            <a:avLst/>
                          </a:prstGeom>
                        </pic:spPr>
                      </pic:pic>
                    </a:graphicData>
                  </a:graphic>
                </wp:inline>
              </w:drawing>
            </w:r>
          </w:p>
        </w:tc>
        <w:tc>
          <w:tcPr>
            <w:tcW w:w="0" w:type="auto"/>
            <w:gridSpan w:val="2"/>
            <w:vMerge/>
            <w:tcBorders>
              <w:top w:val="nil"/>
              <w:left w:val="single" w:sz="3" w:space="0" w:color="000000"/>
              <w:bottom w:val="nil"/>
              <w:right w:val="nil"/>
            </w:tcBorders>
          </w:tcPr>
          <w:p w14:paraId="6CA4E19C" w14:textId="77777777" w:rsidR="00541219" w:rsidRDefault="00541219">
            <w:pPr>
              <w:spacing w:after="160"/>
              <w:ind w:left="0" w:firstLine="0"/>
            </w:pPr>
          </w:p>
        </w:tc>
      </w:tr>
      <w:tr w:rsidR="00541219" w14:paraId="30521772" w14:textId="77777777">
        <w:trPr>
          <w:trHeight w:val="2376"/>
        </w:trPr>
        <w:tc>
          <w:tcPr>
            <w:tcW w:w="5344" w:type="dxa"/>
            <w:tcBorders>
              <w:top w:val="single" w:sz="3" w:space="0" w:color="000000"/>
              <w:left w:val="single" w:sz="3" w:space="0" w:color="000000"/>
              <w:bottom w:val="single" w:sz="3" w:space="0" w:color="000000"/>
              <w:right w:val="single" w:sz="3" w:space="0" w:color="000000"/>
            </w:tcBorders>
          </w:tcPr>
          <w:p w14:paraId="43AFD220" w14:textId="77777777" w:rsidR="00541219" w:rsidRDefault="00000000">
            <w:pPr>
              <w:spacing w:after="0"/>
              <w:ind w:left="76" w:firstLine="0"/>
            </w:pPr>
            <w:r>
              <w:rPr>
                <w:noProof/>
              </w:rPr>
              <w:lastRenderedPageBreak/>
              <w:drawing>
                <wp:inline distT="0" distB="0" distL="0" distR="0" wp14:anchorId="7F58691E" wp14:editId="7DC5AEF6">
                  <wp:extent cx="2218944" cy="1335024"/>
                  <wp:effectExtent l="0" t="0" r="0" b="0"/>
                  <wp:docPr id="5207" name="Picture 5207"/>
                  <wp:cNvGraphicFramePr/>
                  <a:graphic xmlns:a="http://schemas.openxmlformats.org/drawingml/2006/main">
                    <a:graphicData uri="http://schemas.openxmlformats.org/drawingml/2006/picture">
                      <pic:pic xmlns:pic="http://schemas.openxmlformats.org/drawingml/2006/picture">
                        <pic:nvPicPr>
                          <pic:cNvPr id="5207" name="Picture 5207"/>
                          <pic:cNvPicPr/>
                        </pic:nvPicPr>
                        <pic:blipFill>
                          <a:blip r:embed="rId13"/>
                          <a:stretch>
                            <a:fillRect/>
                          </a:stretch>
                        </pic:blipFill>
                        <pic:spPr>
                          <a:xfrm>
                            <a:off x="0" y="0"/>
                            <a:ext cx="2218944" cy="1335024"/>
                          </a:xfrm>
                          <a:prstGeom prst="rect">
                            <a:avLst/>
                          </a:prstGeom>
                        </pic:spPr>
                      </pic:pic>
                    </a:graphicData>
                  </a:graphic>
                </wp:inline>
              </w:drawing>
            </w:r>
          </w:p>
        </w:tc>
        <w:tc>
          <w:tcPr>
            <w:tcW w:w="0" w:type="auto"/>
            <w:gridSpan w:val="2"/>
            <w:vMerge/>
            <w:tcBorders>
              <w:top w:val="nil"/>
              <w:left w:val="single" w:sz="3" w:space="0" w:color="000000"/>
              <w:bottom w:val="nil"/>
              <w:right w:val="nil"/>
            </w:tcBorders>
          </w:tcPr>
          <w:p w14:paraId="4B1CF0E3" w14:textId="77777777" w:rsidR="00541219" w:rsidRDefault="00541219">
            <w:pPr>
              <w:spacing w:after="160"/>
              <w:ind w:left="0" w:firstLine="0"/>
            </w:pPr>
          </w:p>
        </w:tc>
      </w:tr>
      <w:tr w:rsidR="00541219" w14:paraId="679CABDC" w14:textId="77777777">
        <w:trPr>
          <w:trHeight w:val="2508"/>
        </w:trPr>
        <w:tc>
          <w:tcPr>
            <w:tcW w:w="5344" w:type="dxa"/>
            <w:tcBorders>
              <w:top w:val="single" w:sz="3" w:space="0" w:color="000000"/>
              <w:left w:val="single" w:sz="3" w:space="0" w:color="000000"/>
              <w:bottom w:val="single" w:sz="3" w:space="0" w:color="000000"/>
              <w:right w:val="single" w:sz="3" w:space="0" w:color="000000"/>
            </w:tcBorders>
          </w:tcPr>
          <w:p w14:paraId="585A483B" w14:textId="77777777" w:rsidR="00541219" w:rsidRDefault="00000000">
            <w:pPr>
              <w:spacing w:after="0"/>
              <w:ind w:left="76" w:firstLine="0"/>
            </w:pPr>
            <w:r>
              <w:rPr>
                <w:noProof/>
              </w:rPr>
              <w:drawing>
                <wp:inline distT="0" distB="0" distL="0" distR="0" wp14:anchorId="23D6185E" wp14:editId="67719182">
                  <wp:extent cx="2203704" cy="1335024"/>
                  <wp:effectExtent l="0" t="0" r="0" b="0"/>
                  <wp:docPr id="5209" name="Picture 5209"/>
                  <wp:cNvGraphicFramePr/>
                  <a:graphic xmlns:a="http://schemas.openxmlformats.org/drawingml/2006/main">
                    <a:graphicData uri="http://schemas.openxmlformats.org/drawingml/2006/picture">
                      <pic:pic xmlns:pic="http://schemas.openxmlformats.org/drawingml/2006/picture">
                        <pic:nvPicPr>
                          <pic:cNvPr id="5209" name="Picture 5209"/>
                          <pic:cNvPicPr/>
                        </pic:nvPicPr>
                        <pic:blipFill>
                          <a:blip r:embed="rId14"/>
                          <a:stretch>
                            <a:fillRect/>
                          </a:stretch>
                        </pic:blipFill>
                        <pic:spPr>
                          <a:xfrm>
                            <a:off x="0" y="0"/>
                            <a:ext cx="2203704" cy="1335024"/>
                          </a:xfrm>
                          <a:prstGeom prst="rect">
                            <a:avLst/>
                          </a:prstGeom>
                        </pic:spPr>
                      </pic:pic>
                    </a:graphicData>
                  </a:graphic>
                </wp:inline>
              </w:drawing>
            </w:r>
          </w:p>
        </w:tc>
        <w:tc>
          <w:tcPr>
            <w:tcW w:w="0" w:type="auto"/>
            <w:gridSpan w:val="2"/>
            <w:vMerge/>
            <w:tcBorders>
              <w:top w:val="nil"/>
              <w:left w:val="single" w:sz="3" w:space="0" w:color="000000"/>
              <w:bottom w:val="nil"/>
              <w:right w:val="nil"/>
            </w:tcBorders>
          </w:tcPr>
          <w:p w14:paraId="1A91D4C8" w14:textId="77777777" w:rsidR="00541219" w:rsidRDefault="00541219">
            <w:pPr>
              <w:spacing w:after="160"/>
              <w:ind w:left="0" w:firstLine="0"/>
            </w:pPr>
          </w:p>
        </w:tc>
      </w:tr>
      <w:tr w:rsidR="00541219" w14:paraId="4DDF60B5" w14:textId="77777777">
        <w:trPr>
          <w:trHeight w:val="2371"/>
        </w:trPr>
        <w:tc>
          <w:tcPr>
            <w:tcW w:w="5344" w:type="dxa"/>
            <w:tcBorders>
              <w:top w:val="single" w:sz="3" w:space="0" w:color="000000"/>
              <w:left w:val="single" w:sz="3" w:space="0" w:color="000000"/>
              <w:bottom w:val="single" w:sz="3" w:space="0" w:color="000000"/>
              <w:right w:val="single" w:sz="3" w:space="0" w:color="000000"/>
            </w:tcBorders>
          </w:tcPr>
          <w:p w14:paraId="007A0166" w14:textId="77777777" w:rsidR="00541219" w:rsidRDefault="00000000">
            <w:pPr>
              <w:spacing w:after="0"/>
              <w:ind w:left="88" w:firstLine="0"/>
            </w:pPr>
            <w:r>
              <w:rPr>
                <w:noProof/>
              </w:rPr>
              <w:drawing>
                <wp:inline distT="0" distB="0" distL="0" distR="0" wp14:anchorId="0AE80D62" wp14:editId="03562453">
                  <wp:extent cx="2182368" cy="1231392"/>
                  <wp:effectExtent l="0" t="0" r="0" b="0"/>
                  <wp:docPr id="5211" name="Picture 5211"/>
                  <wp:cNvGraphicFramePr/>
                  <a:graphic xmlns:a="http://schemas.openxmlformats.org/drawingml/2006/main">
                    <a:graphicData uri="http://schemas.openxmlformats.org/drawingml/2006/picture">
                      <pic:pic xmlns:pic="http://schemas.openxmlformats.org/drawingml/2006/picture">
                        <pic:nvPicPr>
                          <pic:cNvPr id="5211" name="Picture 5211"/>
                          <pic:cNvPicPr/>
                        </pic:nvPicPr>
                        <pic:blipFill>
                          <a:blip r:embed="rId15"/>
                          <a:stretch>
                            <a:fillRect/>
                          </a:stretch>
                        </pic:blipFill>
                        <pic:spPr>
                          <a:xfrm>
                            <a:off x="0" y="0"/>
                            <a:ext cx="2182368" cy="1231392"/>
                          </a:xfrm>
                          <a:prstGeom prst="rect">
                            <a:avLst/>
                          </a:prstGeom>
                        </pic:spPr>
                      </pic:pic>
                    </a:graphicData>
                  </a:graphic>
                </wp:inline>
              </w:drawing>
            </w:r>
          </w:p>
        </w:tc>
        <w:tc>
          <w:tcPr>
            <w:tcW w:w="0" w:type="auto"/>
            <w:gridSpan w:val="2"/>
            <w:vMerge/>
            <w:tcBorders>
              <w:top w:val="nil"/>
              <w:left w:val="single" w:sz="3" w:space="0" w:color="000000"/>
              <w:bottom w:val="nil"/>
              <w:right w:val="nil"/>
            </w:tcBorders>
          </w:tcPr>
          <w:p w14:paraId="63945DCD" w14:textId="77777777" w:rsidR="00541219" w:rsidRDefault="00541219">
            <w:pPr>
              <w:spacing w:after="160"/>
              <w:ind w:left="0" w:firstLine="0"/>
            </w:pPr>
          </w:p>
        </w:tc>
      </w:tr>
      <w:tr w:rsidR="00541219" w14:paraId="335C5C09" w14:textId="77777777">
        <w:trPr>
          <w:trHeight w:val="1846"/>
        </w:trPr>
        <w:tc>
          <w:tcPr>
            <w:tcW w:w="5344" w:type="dxa"/>
            <w:tcBorders>
              <w:top w:val="single" w:sz="3" w:space="0" w:color="000000"/>
              <w:left w:val="single" w:sz="3" w:space="0" w:color="000000"/>
              <w:bottom w:val="single" w:sz="3" w:space="0" w:color="000000"/>
              <w:right w:val="single" w:sz="3" w:space="0" w:color="000000"/>
            </w:tcBorders>
          </w:tcPr>
          <w:p w14:paraId="0D8DDFE4" w14:textId="77777777" w:rsidR="00541219" w:rsidRDefault="00000000">
            <w:pPr>
              <w:spacing w:after="0"/>
              <w:ind w:left="-15" w:firstLine="0"/>
            </w:pPr>
            <w:r>
              <w:rPr>
                <w:noProof/>
              </w:rPr>
              <w:drawing>
                <wp:inline distT="0" distB="0" distL="0" distR="0" wp14:anchorId="1ABC2EB7" wp14:editId="4058DC8D">
                  <wp:extent cx="2226564" cy="987552"/>
                  <wp:effectExtent l="0" t="0" r="0" b="0"/>
                  <wp:docPr id="5213" name="Picture 5213"/>
                  <wp:cNvGraphicFramePr/>
                  <a:graphic xmlns:a="http://schemas.openxmlformats.org/drawingml/2006/main">
                    <a:graphicData uri="http://schemas.openxmlformats.org/drawingml/2006/picture">
                      <pic:pic xmlns:pic="http://schemas.openxmlformats.org/drawingml/2006/picture">
                        <pic:nvPicPr>
                          <pic:cNvPr id="5213" name="Picture 5213"/>
                          <pic:cNvPicPr/>
                        </pic:nvPicPr>
                        <pic:blipFill>
                          <a:blip r:embed="rId16"/>
                          <a:stretch>
                            <a:fillRect/>
                          </a:stretch>
                        </pic:blipFill>
                        <pic:spPr>
                          <a:xfrm>
                            <a:off x="0" y="0"/>
                            <a:ext cx="2226564" cy="987552"/>
                          </a:xfrm>
                          <a:prstGeom prst="rect">
                            <a:avLst/>
                          </a:prstGeom>
                        </pic:spPr>
                      </pic:pic>
                    </a:graphicData>
                  </a:graphic>
                </wp:inline>
              </w:drawing>
            </w:r>
          </w:p>
        </w:tc>
        <w:tc>
          <w:tcPr>
            <w:tcW w:w="0" w:type="auto"/>
            <w:gridSpan w:val="2"/>
            <w:vMerge/>
            <w:tcBorders>
              <w:top w:val="nil"/>
              <w:left w:val="single" w:sz="3" w:space="0" w:color="000000"/>
              <w:bottom w:val="nil"/>
              <w:right w:val="nil"/>
            </w:tcBorders>
          </w:tcPr>
          <w:p w14:paraId="16D2E308" w14:textId="77777777" w:rsidR="00541219" w:rsidRDefault="00541219">
            <w:pPr>
              <w:spacing w:after="160"/>
              <w:ind w:left="0" w:firstLine="0"/>
            </w:pPr>
          </w:p>
        </w:tc>
      </w:tr>
    </w:tbl>
    <w:p w14:paraId="79438C99" w14:textId="77777777" w:rsidR="00541219" w:rsidRDefault="00541219">
      <w:pPr>
        <w:spacing w:after="0"/>
        <w:ind w:left="-1440" w:right="8527" w:firstLine="0"/>
      </w:pPr>
    </w:p>
    <w:tbl>
      <w:tblPr>
        <w:tblStyle w:val="TableGrid"/>
        <w:tblW w:w="10240" w:type="dxa"/>
        <w:tblInd w:w="-688" w:type="dxa"/>
        <w:tblCellMar>
          <w:top w:w="0" w:type="dxa"/>
          <w:left w:w="19" w:type="dxa"/>
          <w:bottom w:w="0" w:type="dxa"/>
          <w:right w:w="18" w:type="dxa"/>
        </w:tblCellMar>
        <w:tblLook w:val="04A0" w:firstRow="1" w:lastRow="0" w:firstColumn="1" w:lastColumn="0" w:noHBand="0" w:noVBand="1"/>
      </w:tblPr>
      <w:tblGrid>
        <w:gridCol w:w="3726"/>
        <w:gridCol w:w="3041"/>
        <w:gridCol w:w="3473"/>
      </w:tblGrid>
      <w:tr w:rsidR="00541219" w14:paraId="5457FAF0" w14:textId="77777777">
        <w:trPr>
          <w:trHeight w:val="145"/>
        </w:trPr>
        <w:tc>
          <w:tcPr>
            <w:tcW w:w="10240" w:type="dxa"/>
            <w:gridSpan w:val="3"/>
            <w:tcBorders>
              <w:top w:val="single" w:sz="6" w:space="0" w:color="000000"/>
              <w:left w:val="single" w:sz="6" w:space="0" w:color="000000"/>
              <w:bottom w:val="single" w:sz="3" w:space="0" w:color="000000"/>
              <w:right w:val="single" w:sz="6" w:space="0" w:color="000000"/>
            </w:tcBorders>
          </w:tcPr>
          <w:p w14:paraId="2F75C6CA" w14:textId="77777777" w:rsidR="00541219" w:rsidRDefault="00000000">
            <w:pPr>
              <w:spacing w:after="0"/>
              <w:ind w:left="14" w:firstLine="0"/>
              <w:jc w:val="center"/>
            </w:pPr>
            <w:r>
              <w:rPr>
                <w:color w:val="0000FF"/>
                <w:sz w:val="12"/>
              </w:rPr>
              <w:t>CONTRIBUIÇÃO REFERENTE À CONSULTA PÚBLICA Nº 27/2024</w:t>
            </w:r>
          </w:p>
        </w:tc>
      </w:tr>
      <w:tr w:rsidR="00541219" w14:paraId="7024164E" w14:textId="77777777">
        <w:trPr>
          <w:trHeight w:val="144"/>
        </w:trPr>
        <w:tc>
          <w:tcPr>
            <w:tcW w:w="10240" w:type="dxa"/>
            <w:gridSpan w:val="3"/>
            <w:tcBorders>
              <w:top w:val="single" w:sz="3" w:space="0" w:color="000000"/>
              <w:left w:val="single" w:sz="6" w:space="0" w:color="000000"/>
              <w:bottom w:val="single" w:sz="3" w:space="0" w:color="000000"/>
              <w:right w:val="single" w:sz="6" w:space="0" w:color="000000"/>
            </w:tcBorders>
          </w:tcPr>
          <w:p w14:paraId="4E42B4EF" w14:textId="5750ADCB" w:rsidR="00541219" w:rsidRDefault="00000000">
            <w:pPr>
              <w:spacing w:after="0"/>
              <w:ind w:left="0" w:firstLine="0"/>
              <w:jc w:val="center"/>
            </w:pPr>
            <w:r>
              <w:rPr>
                <w:color w:val="0000FF"/>
                <w:sz w:val="12"/>
              </w:rPr>
              <w:t xml:space="preserve">NOME DA INSTITUIÇÃO: </w:t>
            </w:r>
            <w:r w:rsidR="00F06EF6">
              <w:rPr>
                <w:color w:val="0000FF"/>
                <w:sz w:val="12"/>
              </w:rPr>
              <w:t>Conselho de Consumidores da Área de Concessão da Energisa no Mato Grosso do Sul – CONCEN-MS</w:t>
            </w:r>
          </w:p>
        </w:tc>
      </w:tr>
      <w:tr w:rsidR="00541219" w14:paraId="33DBC333" w14:textId="77777777">
        <w:trPr>
          <w:trHeight w:val="144"/>
        </w:trPr>
        <w:tc>
          <w:tcPr>
            <w:tcW w:w="10240" w:type="dxa"/>
            <w:gridSpan w:val="3"/>
            <w:tcBorders>
              <w:top w:val="single" w:sz="3" w:space="0" w:color="000000"/>
              <w:left w:val="single" w:sz="6" w:space="0" w:color="000000"/>
              <w:bottom w:val="single" w:sz="3" w:space="0" w:color="000000"/>
              <w:right w:val="single" w:sz="6" w:space="0" w:color="000000"/>
            </w:tcBorders>
          </w:tcPr>
          <w:p w14:paraId="3378943D" w14:textId="77777777" w:rsidR="00541219" w:rsidRDefault="00000000">
            <w:pPr>
              <w:tabs>
                <w:tab w:val="center" w:pos="728"/>
                <w:tab w:val="center" w:pos="5110"/>
              </w:tabs>
              <w:spacing w:after="0"/>
              <w:ind w:left="0" w:firstLine="0"/>
            </w:pPr>
            <w:r>
              <w:rPr>
                <w:rFonts w:ascii="Calibri" w:eastAsia="Calibri" w:hAnsi="Calibri" w:cs="Calibri"/>
                <w:sz w:val="22"/>
              </w:rPr>
              <w:tab/>
            </w:r>
            <w:r>
              <w:rPr>
                <w:noProof/>
              </w:rPr>
              <w:drawing>
                <wp:inline distT="0" distB="0" distL="0" distR="0" wp14:anchorId="2C11DE4C" wp14:editId="4489D19E">
                  <wp:extent cx="559308" cy="344424"/>
                  <wp:effectExtent l="0" t="0" r="0" b="0"/>
                  <wp:docPr id="5502" name="Picture 5502"/>
                  <wp:cNvGraphicFramePr/>
                  <a:graphic xmlns:a="http://schemas.openxmlformats.org/drawingml/2006/main">
                    <a:graphicData uri="http://schemas.openxmlformats.org/drawingml/2006/picture">
                      <pic:pic xmlns:pic="http://schemas.openxmlformats.org/drawingml/2006/picture">
                        <pic:nvPicPr>
                          <pic:cNvPr id="5502" name="Picture 5502"/>
                          <pic:cNvPicPr/>
                        </pic:nvPicPr>
                        <pic:blipFill>
                          <a:blip r:embed="rId5"/>
                          <a:stretch>
                            <a:fillRect/>
                          </a:stretch>
                        </pic:blipFill>
                        <pic:spPr>
                          <a:xfrm>
                            <a:off x="0" y="0"/>
                            <a:ext cx="559308" cy="344424"/>
                          </a:xfrm>
                          <a:prstGeom prst="rect">
                            <a:avLst/>
                          </a:prstGeom>
                        </pic:spPr>
                      </pic:pic>
                    </a:graphicData>
                  </a:graphic>
                </wp:inline>
              </w:drawing>
            </w:r>
            <w:r>
              <w:rPr>
                <w:color w:val="0000FF"/>
                <w:sz w:val="12"/>
              </w:rPr>
              <w:tab/>
              <w:t>AGÊNCIA NACIONAL DE ENERGIA ELÉTRICA – ANEEL</w:t>
            </w:r>
          </w:p>
        </w:tc>
      </w:tr>
      <w:tr w:rsidR="00541219" w14:paraId="6E007D1F" w14:textId="77777777">
        <w:trPr>
          <w:trHeight w:val="173"/>
        </w:trPr>
        <w:tc>
          <w:tcPr>
            <w:tcW w:w="10240" w:type="dxa"/>
            <w:gridSpan w:val="3"/>
            <w:tcBorders>
              <w:top w:val="single" w:sz="3" w:space="0" w:color="000000"/>
              <w:left w:val="single" w:sz="6" w:space="0" w:color="000000"/>
              <w:bottom w:val="single" w:sz="3" w:space="0" w:color="000000"/>
              <w:right w:val="single" w:sz="6" w:space="0" w:color="000000"/>
            </w:tcBorders>
          </w:tcPr>
          <w:p w14:paraId="10DC499B" w14:textId="77777777" w:rsidR="00541219" w:rsidRDefault="00000000">
            <w:pPr>
              <w:spacing w:after="0"/>
              <w:ind w:left="12" w:firstLine="0"/>
              <w:jc w:val="center"/>
            </w:pPr>
            <w:r>
              <w:rPr>
                <w:color w:val="0000FF"/>
              </w:rPr>
              <w:t>ATO REGULATÓRIO: TERMO ADITIVO AO CONTRATO DE CONCESSÃO DE SERVIÇO PÚBLICO DE DISTRIBUIÇÃO DE ENERGIA ELÉTRICA No XX/XX-ANEEL</w:t>
            </w:r>
          </w:p>
        </w:tc>
      </w:tr>
      <w:tr w:rsidR="00541219" w14:paraId="0BD9269B" w14:textId="77777777">
        <w:trPr>
          <w:trHeight w:val="187"/>
        </w:trPr>
        <w:tc>
          <w:tcPr>
            <w:tcW w:w="10240" w:type="dxa"/>
            <w:gridSpan w:val="3"/>
            <w:tcBorders>
              <w:top w:val="single" w:sz="3" w:space="0" w:color="000000"/>
              <w:left w:val="single" w:sz="6" w:space="0" w:color="000000"/>
              <w:bottom w:val="single" w:sz="3" w:space="0" w:color="000000"/>
              <w:right w:val="single" w:sz="6" w:space="0" w:color="000000"/>
            </w:tcBorders>
          </w:tcPr>
          <w:p w14:paraId="23CD08D9" w14:textId="77777777" w:rsidR="00541219" w:rsidRDefault="00000000">
            <w:pPr>
              <w:spacing w:after="0"/>
              <w:ind w:left="2" w:firstLine="0"/>
              <w:jc w:val="center"/>
            </w:pPr>
            <w:r>
              <w:rPr>
                <w:color w:val="0000FF"/>
              </w:rPr>
              <w:t xml:space="preserve">                                                               EMENTA: Obter subsídios para o aprimoramento da minuta de termo aditivo ao contrato de concessão de distribuição de energia elétrica com vistas à prorrogação das concessões.</w:t>
            </w:r>
          </w:p>
        </w:tc>
      </w:tr>
      <w:tr w:rsidR="00541219" w14:paraId="4534FCB8" w14:textId="77777777">
        <w:trPr>
          <w:trHeight w:val="130"/>
        </w:trPr>
        <w:tc>
          <w:tcPr>
            <w:tcW w:w="10240" w:type="dxa"/>
            <w:gridSpan w:val="3"/>
            <w:tcBorders>
              <w:top w:val="single" w:sz="3" w:space="0" w:color="000000"/>
              <w:left w:val="single" w:sz="6" w:space="0" w:color="000000"/>
              <w:bottom w:val="single" w:sz="3" w:space="0" w:color="000000"/>
              <w:right w:val="single" w:sz="6" w:space="0" w:color="000000"/>
            </w:tcBorders>
          </w:tcPr>
          <w:p w14:paraId="24AABD82" w14:textId="77777777" w:rsidR="00541219" w:rsidRDefault="00000000">
            <w:pPr>
              <w:spacing w:after="0"/>
              <w:ind w:left="0" w:right="2" w:firstLine="0"/>
              <w:jc w:val="center"/>
            </w:pPr>
            <w:r>
              <w:rPr>
                <w:color w:val="0000FF"/>
                <w:sz w:val="10"/>
              </w:rPr>
              <w:t>CONTRIBUIÇÕES RECEBIDAS</w:t>
            </w:r>
          </w:p>
        </w:tc>
      </w:tr>
      <w:tr w:rsidR="00541219" w14:paraId="6EBE2330" w14:textId="77777777">
        <w:trPr>
          <w:trHeight w:val="268"/>
        </w:trPr>
        <w:tc>
          <w:tcPr>
            <w:tcW w:w="10240" w:type="dxa"/>
            <w:gridSpan w:val="3"/>
            <w:tcBorders>
              <w:top w:val="single" w:sz="3" w:space="0" w:color="000000"/>
              <w:left w:val="single" w:sz="6" w:space="0" w:color="000000"/>
              <w:bottom w:val="single" w:sz="6" w:space="0" w:color="000000"/>
              <w:right w:val="single" w:sz="6" w:space="0" w:color="000000"/>
            </w:tcBorders>
          </w:tcPr>
          <w:p w14:paraId="1CCFE62E" w14:textId="77777777" w:rsidR="00541219" w:rsidRDefault="00000000">
            <w:pPr>
              <w:spacing w:after="0"/>
              <w:ind w:left="0" w:firstLine="0"/>
            </w:pPr>
            <w:r>
              <w:t>IMPORTANTE: Os comentários e sugestões referentes às contribuições deverão ser fundamentados e justificados, mencionando-se os artigos, parágrafos e incisos a que se referem, devendo ser acompanhados de textos alternativos e substitutivos quando envolverem sugestões de inclusão ou alteração, parcial ou total, de qualquer dispositivo.</w:t>
            </w:r>
          </w:p>
        </w:tc>
      </w:tr>
      <w:tr w:rsidR="00541219" w14:paraId="3C59F8E8" w14:textId="77777777">
        <w:trPr>
          <w:trHeight w:val="199"/>
        </w:trPr>
        <w:tc>
          <w:tcPr>
            <w:tcW w:w="3727" w:type="dxa"/>
            <w:tcBorders>
              <w:top w:val="single" w:sz="6" w:space="0" w:color="000000"/>
              <w:left w:val="single" w:sz="6" w:space="0" w:color="000000"/>
              <w:bottom w:val="single" w:sz="3" w:space="0" w:color="000000"/>
              <w:right w:val="single" w:sz="6" w:space="0" w:color="000000"/>
            </w:tcBorders>
            <w:shd w:val="clear" w:color="auto" w:fill="FF0000"/>
          </w:tcPr>
          <w:p w14:paraId="0F58D649" w14:textId="77777777" w:rsidR="00541219" w:rsidRDefault="00000000">
            <w:pPr>
              <w:spacing w:after="0"/>
              <w:ind w:left="0" w:right="1" w:firstLine="0"/>
              <w:jc w:val="center"/>
            </w:pPr>
            <w:r>
              <w:rPr>
                <w:color w:val="FFFFFF"/>
                <w:sz w:val="10"/>
              </w:rPr>
              <w:t xml:space="preserve">TEXTO/ANEEL </w:t>
            </w:r>
          </w:p>
        </w:tc>
        <w:tc>
          <w:tcPr>
            <w:tcW w:w="3041" w:type="dxa"/>
            <w:tcBorders>
              <w:top w:val="single" w:sz="6" w:space="0" w:color="000000"/>
              <w:left w:val="single" w:sz="6" w:space="0" w:color="000000"/>
              <w:bottom w:val="single" w:sz="6" w:space="0" w:color="000000"/>
              <w:right w:val="single" w:sz="6" w:space="0" w:color="000000"/>
            </w:tcBorders>
            <w:shd w:val="clear" w:color="auto" w:fill="FF0000"/>
          </w:tcPr>
          <w:p w14:paraId="5E216D15" w14:textId="77777777" w:rsidR="00541219" w:rsidRDefault="00000000">
            <w:pPr>
              <w:spacing w:after="0"/>
              <w:ind w:left="5" w:firstLine="0"/>
              <w:jc w:val="center"/>
            </w:pPr>
            <w:r>
              <w:rPr>
                <w:color w:val="FFFFFF"/>
                <w:sz w:val="10"/>
              </w:rPr>
              <w:t>TEXTO/INSTITUIÇÃO</w:t>
            </w:r>
          </w:p>
        </w:tc>
        <w:tc>
          <w:tcPr>
            <w:tcW w:w="3473" w:type="dxa"/>
            <w:tcBorders>
              <w:top w:val="single" w:sz="6" w:space="0" w:color="000000"/>
              <w:left w:val="single" w:sz="6" w:space="0" w:color="000000"/>
              <w:bottom w:val="single" w:sz="6" w:space="0" w:color="000000"/>
              <w:right w:val="single" w:sz="6" w:space="0" w:color="000000"/>
            </w:tcBorders>
            <w:shd w:val="clear" w:color="auto" w:fill="FF0000"/>
          </w:tcPr>
          <w:p w14:paraId="4362B22B" w14:textId="77777777" w:rsidR="00541219" w:rsidRDefault="00000000">
            <w:pPr>
              <w:spacing w:after="0"/>
              <w:ind w:left="2" w:firstLine="0"/>
              <w:jc w:val="center"/>
            </w:pPr>
            <w:r>
              <w:rPr>
                <w:color w:val="FFFFFF"/>
                <w:sz w:val="10"/>
              </w:rPr>
              <w:t>JUSTIFICATIVA/INSTITUIÇÃO</w:t>
            </w:r>
          </w:p>
        </w:tc>
      </w:tr>
      <w:tr w:rsidR="00541219" w14:paraId="422EE102" w14:textId="77777777">
        <w:trPr>
          <w:trHeight w:val="184"/>
        </w:trPr>
        <w:tc>
          <w:tcPr>
            <w:tcW w:w="3727" w:type="dxa"/>
            <w:tcBorders>
              <w:top w:val="single" w:sz="3" w:space="0" w:color="000000"/>
              <w:left w:val="single" w:sz="3" w:space="0" w:color="000000"/>
              <w:bottom w:val="single" w:sz="3" w:space="0" w:color="000000"/>
              <w:right w:val="single" w:sz="3" w:space="0" w:color="000000"/>
            </w:tcBorders>
          </w:tcPr>
          <w:p w14:paraId="62AEBB97" w14:textId="77777777" w:rsidR="00541219" w:rsidRDefault="00000000">
            <w:pPr>
              <w:ind w:left="0" w:firstLine="0"/>
            </w:pPr>
            <w:r>
              <w:rPr>
                <w:sz w:val="7"/>
              </w:rPr>
              <w:t xml:space="preserve">XXXX TERMO ADITIVO AO CONTRATO DE CONCESSÃO DE SERVIÇO PÚBLICO DE DISTRIBUIÇÃO DE </w:t>
            </w:r>
          </w:p>
          <w:p w14:paraId="645F6B7E" w14:textId="77777777" w:rsidR="00541219" w:rsidRDefault="00000000">
            <w:pPr>
              <w:spacing w:after="0"/>
              <w:ind w:left="0" w:firstLine="0"/>
            </w:pPr>
            <w:r>
              <w:rPr>
                <w:sz w:val="7"/>
              </w:rPr>
              <w:t>ENERGIA ELÉTRICA No XX/XX-ANEEL</w:t>
            </w:r>
          </w:p>
        </w:tc>
        <w:tc>
          <w:tcPr>
            <w:tcW w:w="6514" w:type="dxa"/>
            <w:gridSpan w:val="2"/>
            <w:vMerge w:val="restart"/>
            <w:tcBorders>
              <w:top w:val="single" w:sz="6" w:space="0" w:color="000000"/>
              <w:left w:val="single" w:sz="3" w:space="0" w:color="000000"/>
              <w:bottom w:val="single" w:sz="3" w:space="0" w:color="000000"/>
              <w:right w:val="nil"/>
            </w:tcBorders>
          </w:tcPr>
          <w:p w14:paraId="3BABA03C" w14:textId="77777777" w:rsidR="00541219" w:rsidRDefault="00541219">
            <w:pPr>
              <w:spacing w:after="160"/>
              <w:ind w:left="0" w:firstLine="0"/>
            </w:pPr>
          </w:p>
        </w:tc>
      </w:tr>
      <w:tr w:rsidR="00541219" w14:paraId="2DE1CC8D" w14:textId="77777777">
        <w:trPr>
          <w:trHeight w:val="91"/>
        </w:trPr>
        <w:tc>
          <w:tcPr>
            <w:tcW w:w="3727" w:type="dxa"/>
            <w:tcBorders>
              <w:top w:val="single" w:sz="3" w:space="0" w:color="000000"/>
              <w:left w:val="single" w:sz="3" w:space="0" w:color="000000"/>
              <w:bottom w:val="single" w:sz="3" w:space="0" w:color="000000"/>
              <w:right w:val="single" w:sz="3" w:space="0" w:color="000000"/>
            </w:tcBorders>
          </w:tcPr>
          <w:p w14:paraId="1B7AE0F2" w14:textId="77777777" w:rsidR="00541219" w:rsidRDefault="00000000">
            <w:pPr>
              <w:spacing w:after="0"/>
              <w:ind w:left="0" w:firstLine="0"/>
            </w:pPr>
            <w:r>
              <w:rPr>
                <w:sz w:val="7"/>
              </w:rPr>
              <w:t>Processo no 48500.00XXXX/20XX-XX</w:t>
            </w:r>
          </w:p>
        </w:tc>
        <w:tc>
          <w:tcPr>
            <w:tcW w:w="0" w:type="auto"/>
            <w:gridSpan w:val="2"/>
            <w:vMerge/>
            <w:tcBorders>
              <w:top w:val="nil"/>
              <w:left w:val="single" w:sz="3" w:space="0" w:color="000000"/>
              <w:bottom w:val="nil"/>
              <w:right w:val="nil"/>
            </w:tcBorders>
          </w:tcPr>
          <w:p w14:paraId="541467E0" w14:textId="77777777" w:rsidR="00541219" w:rsidRDefault="00541219">
            <w:pPr>
              <w:spacing w:after="160"/>
              <w:ind w:left="0" w:firstLine="0"/>
            </w:pPr>
          </w:p>
        </w:tc>
      </w:tr>
      <w:tr w:rsidR="00541219" w14:paraId="24D1F885"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4A70FE56" w14:textId="77777777" w:rsidR="00541219" w:rsidRDefault="00000000">
            <w:pPr>
              <w:spacing w:after="0"/>
              <w:ind w:left="0" w:firstLine="0"/>
            </w:pPr>
            <w:r>
              <w:rPr>
                <w:sz w:val="7"/>
              </w:rPr>
              <w:t>XXXXX TERMO ADITIVO AO CONTRATO DE CONCESSÃO No XX/XX-ANEEL PARA DISTRIBUIÇÃO DE ENERGIA ELÉTRICA QUE CELEBRAM A UNIÃO E A XXXXXX – DISTRIBUIDORA XXXXXXX.</w:t>
            </w:r>
          </w:p>
        </w:tc>
        <w:tc>
          <w:tcPr>
            <w:tcW w:w="0" w:type="auto"/>
            <w:gridSpan w:val="2"/>
            <w:vMerge/>
            <w:tcBorders>
              <w:top w:val="nil"/>
              <w:left w:val="single" w:sz="3" w:space="0" w:color="000000"/>
              <w:bottom w:val="nil"/>
              <w:right w:val="nil"/>
            </w:tcBorders>
          </w:tcPr>
          <w:p w14:paraId="6BD9FD29" w14:textId="77777777" w:rsidR="00541219" w:rsidRDefault="00541219">
            <w:pPr>
              <w:spacing w:after="160"/>
              <w:ind w:left="0" w:firstLine="0"/>
            </w:pPr>
          </w:p>
        </w:tc>
      </w:tr>
      <w:tr w:rsidR="00541219" w14:paraId="6977E60A" w14:textId="77777777">
        <w:trPr>
          <w:trHeight w:val="1703"/>
        </w:trPr>
        <w:tc>
          <w:tcPr>
            <w:tcW w:w="3727" w:type="dxa"/>
            <w:tcBorders>
              <w:top w:val="single" w:sz="3" w:space="0" w:color="000000"/>
              <w:left w:val="single" w:sz="3" w:space="0" w:color="000000"/>
              <w:bottom w:val="double" w:sz="3" w:space="0" w:color="000000"/>
              <w:right w:val="single" w:sz="3" w:space="0" w:color="000000"/>
            </w:tcBorders>
          </w:tcPr>
          <w:p w14:paraId="2637CC14" w14:textId="77777777" w:rsidR="00541219" w:rsidRDefault="00000000">
            <w:pPr>
              <w:spacing w:after="0" w:line="254" w:lineRule="auto"/>
              <w:ind w:left="0" w:right="14" w:firstLine="0"/>
            </w:pPr>
            <w:r>
              <w:rPr>
                <w:sz w:val="7"/>
              </w:rPr>
              <w:t xml:space="preserve">A UNIÃO, doravante designada apenas PODER CONCEDENTE, no uso da competência que lhe confere o artigo 21, inciso XII, alínea “b”, da Constituição Federal, nos termos do art. 3°- A da Lei no 9.427, de 26 de dezembro de 1996, por intermédio do Ministério de Minas e Energia – MME, doravante designado apenas MME, inscrito no CNPJ sob o no 37.115.383/0001-53, com sede à Esplanada dos Ministérios, Bloco U, CEP 70.065900, Brasília, Distrito Federal, representado pelo Ministro de Estado de Minas e Energia Alexandre Silveira de Oliveira e a XXXXXX - DISTRIBUIDORA XXXXXXX., com sede em XXXXXX, no estado de XXXXX, Avenida </w:t>
            </w:r>
            <w:proofErr w:type="spellStart"/>
            <w:r>
              <w:rPr>
                <w:sz w:val="7"/>
              </w:rPr>
              <w:t>xxxxxxxxxx</w:t>
            </w:r>
            <w:proofErr w:type="spellEnd"/>
            <w:r>
              <w:rPr>
                <w:sz w:val="7"/>
              </w:rPr>
              <w:t xml:space="preserve">, Bairro </w:t>
            </w:r>
            <w:proofErr w:type="spellStart"/>
            <w:r>
              <w:rPr>
                <w:sz w:val="7"/>
              </w:rPr>
              <w:t>xxxxxxxx</w:t>
            </w:r>
            <w:proofErr w:type="spellEnd"/>
            <w:r>
              <w:rPr>
                <w:sz w:val="7"/>
              </w:rPr>
              <w:t xml:space="preserve">, inscrita no CNPJ/MF sob o no </w:t>
            </w:r>
            <w:proofErr w:type="spellStart"/>
            <w:r>
              <w:rPr>
                <w:sz w:val="7"/>
              </w:rPr>
              <w:t>xxxxxxxxxxx</w:t>
            </w:r>
            <w:proofErr w:type="spellEnd"/>
            <w:r>
              <w:rPr>
                <w:sz w:val="7"/>
              </w:rPr>
              <w:t xml:space="preserve">, na condição de Concessionária de Distribuição de Energia Elétrica, doravante designada DISTRIBUIDORA, neste ato representada na forma de seu ato constitutivo por seus Diretores XXXXXXXXX, inscrito no CPF sob o no XXXXXXX, e XXXXXXXXXX, inscrito no CPF sob o no XXXXXXX, com interveniência e anuência do ACIONISTA CONTROLADOR, </w:t>
            </w:r>
          </w:p>
          <w:p w14:paraId="459CD2DD" w14:textId="77777777" w:rsidR="00541219" w:rsidRDefault="00000000">
            <w:pPr>
              <w:spacing w:after="0"/>
              <w:ind w:left="0" w:firstLine="0"/>
            </w:pPr>
            <w:r>
              <w:rPr>
                <w:sz w:val="7"/>
              </w:rPr>
              <w:t xml:space="preserve">XXXXXXXX inscrita no CNPJ/MF sob o no </w:t>
            </w:r>
            <w:proofErr w:type="spellStart"/>
            <w:r>
              <w:rPr>
                <w:sz w:val="7"/>
              </w:rPr>
              <w:t>xxxxxxxxx</w:t>
            </w:r>
            <w:proofErr w:type="spellEnd"/>
            <w:r>
              <w:rPr>
                <w:sz w:val="7"/>
              </w:rPr>
              <w:t xml:space="preserve">, com sede na cidade de </w:t>
            </w:r>
            <w:proofErr w:type="spellStart"/>
            <w:r>
              <w:rPr>
                <w:sz w:val="7"/>
              </w:rPr>
              <w:t>xxxxxxxx</w:t>
            </w:r>
            <w:proofErr w:type="spellEnd"/>
            <w:r>
              <w:rPr>
                <w:sz w:val="7"/>
              </w:rPr>
              <w:t xml:space="preserve">, no Estado de </w:t>
            </w:r>
            <w:proofErr w:type="spellStart"/>
            <w:r>
              <w:rPr>
                <w:sz w:val="7"/>
              </w:rPr>
              <w:t>xxxxxxxxx</w:t>
            </w:r>
            <w:proofErr w:type="spellEnd"/>
            <w:r>
              <w:rPr>
                <w:sz w:val="7"/>
              </w:rPr>
              <w:t xml:space="preserve">, na rua </w:t>
            </w:r>
            <w:proofErr w:type="spellStart"/>
            <w:r>
              <w:rPr>
                <w:sz w:val="7"/>
              </w:rPr>
              <w:t>xxxxxxxx</w:t>
            </w:r>
            <w:proofErr w:type="spellEnd"/>
            <w:r>
              <w:rPr>
                <w:sz w:val="7"/>
              </w:rPr>
              <w:t xml:space="preserve">, na forma de seu ato constitutivo representada por seu Diretores </w:t>
            </w:r>
            <w:proofErr w:type="spellStart"/>
            <w:r>
              <w:rPr>
                <w:sz w:val="7"/>
              </w:rPr>
              <w:t>xxxxxxxxx</w:t>
            </w:r>
            <w:proofErr w:type="spellEnd"/>
            <w:r>
              <w:rPr>
                <w:sz w:val="7"/>
              </w:rPr>
              <w:t xml:space="preserve">, inscrito no CPF sob o no </w:t>
            </w:r>
            <w:proofErr w:type="spellStart"/>
            <w:r>
              <w:rPr>
                <w:sz w:val="7"/>
              </w:rPr>
              <w:t>xxxxxxxxxx</w:t>
            </w:r>
            <w:proofErr w:type="spellEnd"/>
            <w:r>
              <w:rPr>
                <w:sz w:val="7"/>
              </w:rPr>
              <w:t xml:space="preserve">, e </w:t>
            </w:r>
            <w:proofErr w:type="spellStart"/>
            <w:r>
              <w:rPr>
                <w:sz w:val="7"/>
              </w:rPr>
              <w:t>xxxxxxxxxxxx</w:t>
            </w:r>
            <w:proofErr w:type="spellEnd"/>
            <w:r>
              <w:rPr>
                <w:sz w:val="7"/>
              </w:rPr>
              <w:t xml:space="preserve">, inscrito no CPF sob o no </w:t>
            </w:r>
            <w:proofErr w:type="spellStart"/>
            <w:r>
              <w:rPr>
                <w:sz w:val="7"/>
              </w:rPr>
              <w:t>xxxxxxxx</w:t>
            </w:r>
            <w:proofErr w:type="spellEnd"/>
            <w:r>
              <w:rPr>
                <w:sz w:val="7"/>
              </w:rPr>
              <w:t>, considerando os termos da Lei no 9.074, de 7 de julho de 1995, da Lei no 12.783, de 11 de janeiro de 2013, do Decreto no 7.805, de 14 de setembro de 2012, do Decreto no 8.461, de 02 de junho de 2015 e do Decreto no XXX, de XX de agosto de 2023, têm entre si ajustado o presente Termo Aditivo ao Contrato de Concessão no XX/XX-ANEEL, de acordo com as cláusulas seguintes:</w:t>
            </w:r>
          </w:p>
        </w:tc>
        <w:tc>
          <w:tcPr>
            <w:tcW w:w="0" w:type="auto"/>
            <w:gridSpan w:val="2"/>
            <w:vMerge/>
            <w:tcBorders>
              <w:top w:val="nil"/>
              <w:left w:val="single" w:sz="3" w:space="0" w:color="000000"/>
              <w:bottom w:val="nil"/>
              <w:right w:val="nil"/>
            </w:tcBorders>
          </w:tcPr>
          <w:p w14:paraId="2C523995" w14:textId="77777777" w:rsidR="00541219" w:rsidRDefault="00541219">
            <w:pPr>
              <w:spacing w:after="160"/>
              <w:ind w:left="0" w:firstLine="0"/>
            </w:pPr>
          </w:p>
        </w:tc>
      </w:tr>
      <w:tr w:rsidR="00541219" w14:paraId="60FACBA2" w14:textId="77777777">
        <w:trPr>
          <w:trHeight w:val="515"/>
        </w:trPr>
        <w:tc>
          <w:tcPr>
            <w:tcW w:w="3727" w:type="dxa"/>
            <w:tcBorders>
              <w:top w:val="double" w:sz="3" w:space="0" w:color="000000"/>
              <w:left w:val="single" w:sz="3" w:space="0" w:color="000000"/>
              <w:bottom w:val="single" w:sz="3" w:space="0" w:color="000000"/>
              <w:right w:val="single" w:sz="3" w:space="0" w:color="000000"/>
            </w:tcBorders>
          </w:tcPr>
          <w:p w14:paraId="37C0F077" w14:textId="77777777" w:rsidR="00541219" w:rsidRDefault="00000000">
            <w:pPr>
              <w:spacing w:after="28"/>
              <w:ind w:left="2" w:firstLine="0"/>
            </w:pPr>
            <w:r>
              <w:t>CLÁUSULA PRIMEIRA – OBJETO</w:t>
            </w:r>
          </w:p>
          <w:p w14:paraId="7FD5CF1B" w14:textId="77777777" w:rsidR="00541219" w:rsidRDefault="00000000">
            <w:pPr>
              <w:spacing w:after="0"/>
              <w:ind w:left="0" w:firstLine="0"/>
            </w:pPr>
            <w:r>
              <w:rPr>
                <w:sz w:val="7"/>
              </w:rPr>
              <w:t xml:space="preserve">Constitui objeto deste TERMO ADITIVO formalizar a prorrogação do CONTRATO DE CONCESSÃO DO </w:t>
            </w:r>
          </w:p>
          <w:p w14:paraId="487742C2" w14:textId="77777777" w:rsidR="00541219" w:rsidRDefault="00000000">
            <w:pPr>
              <w:spacing w:after="0"/>
              <w:ind w:left="0" w:right="40" w:firstLine="0"/>
              <w:jc w:val="both"/>
            </w:pPr>
            <w:r>
              <w:rPr>
                <w:sz w:val="7"/>
              </w:rPr>
              <w:t xml:space="preserve">SERVIÇO PÚBLICO DE DISTRIBUIÇÃO DE ENERGIA ELÉTRICA no XX/XX-ANEEL até XX de </w:t>
            </w:r>
            <w:proofErr w:type="spellStart"/>
            <w:r>
              <w:rPr>
                <w:sz w:val="7"/>
              </w:rPr>
              <w:t>xxxxxxxx</w:t>
            </w:r>
            <w:proofErr w:type="spellEnd"/>
            <w:r>
              <w:rPr>
                <w:sz w:val="7"/>
              </w:rPr>
              <w:t xml:space="preserve"> de 20XX, de acordo com o Decreto nº 12.068, de 20 de junho de 2024, com fulcro na Lei nº 9.074, de 7 de julho de 1995, no Decreto nº 7.805, de 14 de setembro de 2012 e no Decreto nº 8.461, de 02 de junho de 2015.</w:t>
            </w:r>
          </w:p>
        </w:tc>
        <w:tc>
          <w:tcPr>
            <w:tcW w:w="0" w:type="auto"/>
            <w:gridSpan w:val="2"/>
            <w:vMerge/>
            <w:tcBorders>
              <w:top w:val="nil"/>
              <w:left w:val="single" w:sz="3" w:space="0" w:color="000000"/>
              <w:bottom w:val="nil"/>
              <w:right w:val="nil"/>
            </w:tcBorders>
          </w:tcPr>
          <w:p w14:paraId="2248E15F" w14:textId="77777777" w:rsidR="00541219" w:rsidRDefault="00541219">
            <w:pPr>
              <w:spacing w:after="160"/>
              <w:ind w:left="0" w:firstLine="0"/>
            </w:pPr>
          </w:p>
        </w:tc>
      </w:tr>
      <w:tr w:rsidR="00541219" w14:paraId="15AD6A2C"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1062E2B1" w14:textId="77777777" w:rsidR="00541219" w:rsidRDefault="00000000">
            <w:pPr>
              <w:spacing w:after="0" w:line="254" w:lineRule="auto"/>
              <w:ind w:left="0" w:firstLine="0"/>
            </w:pPr>
            <w:r>
              <w:rPr>
                <w:sz w:val="7"/>
              </w:rPr>
              <w:t xml:space="preserve">Parágrafo Único – O Contrato de Concessão no XX/XX-ANEEL regula a exploração do serviço público de distribuição de energia elétrica no âmbito da concessão de que é titular a DISTRIBUIDORA, nas áreas dos </w:t>
            </w:r>
          </w:p>
          <w:p w14:paraId="3C9F55CD" w14:textId="77777777" w:rsidR="00541219" w:rsidRDefault="00000000">
            <w:pPr>
              <w:spacing w:after="0"/>
              <w:ind w:left="0" w:firstLine="0"/>
            </w:pPr>
            <w:r>
              <w:rPr>
                <w:sz w:val="7"/>
              </w:rPr>
              <w:t>Municípios discriminados no Anexo I deste Termo Aditivo.</w:t>
            </w:r>
          </w:p>
        </w:tc>
        <w:tc>
          <w:tcPr>
            <w:tcW w:w="0" w:type="auto"/>
            <w:gridSpan w:val="2"/>
            <w:vMerge/>
            <w:tcBorders>
              <w:top w:val="nil"/>
              <w:left w:val="single" w:sz="3" w:space="0" w:color="000000"/>
              <w:bottom w:val="nil"/>
              <w:right w:val="nil"/>
            </w:tcBorders>
          </w:tcPr>
          <w:p w14:paraId="47AB6779" w14:textId="77777777" w:rsidR="00541219" w:rsidRDefault="00541219">
            <w:pPr>
              <w:spacing w:after="160"/>
              <w:ind w:left="0" w:firstLine="0"/>
            </w:pPr>
          </w:p>
        </w:tc>
      </w:tr>
      <w:tr w:rsidR="00541219" w14:paraId="196DB6B6" w14:textId="77777777">
        <w:trPr>
          <w:trHeight w:val="365"/>
        </w:trPr>
        <w:tc>
          <w:tcPr>
            <w:tcW w:w="3727" w:type="dxa"/>
            <w:tcBorders>
              <w:top w:val="single" w:sz="3" w:space="0" w:color="000000"/>
              <w:left w:val="single" w:sz="3" w:space="0" w:color="000000"/>
              <w:bottom w:val="single" w:sz="3" w:space="0" w:color="000000"/>
              <w:right w:val="single" w:sz="3" w:space="0" w:color="000000"/>
            </w:tcBorders>
          </w:tcPr>
          <w:p w14:paraId="38CECBF6" w14:textId="77777777" w:rsidR="00541219" w:rsidRDefault="00000000">
            <w:pPr>
              <w:spacing w:after="0"/>
              <w:ind w:left="0" w:firstLine="0"/>
            </w:pPr>
            <w:r>
              <w:rPr>
                <w:sz w:val="7"/>
              </w:rPr>
              <w:t>Subcláusula Primeira – A exploração do serviço público de distribuição de energia elétrica constitui concessão individualizada para a área constante do Anexo I deste Termo Aditivo, para todos os efeitos normativos e contratuais, em especial para fins de eventual intervenção, declaração de caducidade, encampação ou outras formas de extinção.</w:t>
            </w:r>
          </w:p>
        </w:tc>
        <w:tc>
          <w:tcPr>
            <w:tcW w:w="0" w:type="auto"/>
            <w:gridSpan w:val="2"/>
            <w:vMerge/>
            <w:tcBorders>
              <w:top w:val="nil"/>
              <w:left w:val="single" w:sz="3" w:space="0" w:color="000000"/>
              <w:bottom w:val="nil"/>
              <w:right w:val="nil"/>
            </w:tcBorders>
          </w:tcPr>
          <w:p w14:paraId="70737C1F" w14:textId="77777777" w:rsidR="00541219" w:rsidRDefault="00541219">
            <w:pPr>
              <w:spacing w:after="160"/>
              <w:ind w:left="0" w:firstLine="0"/>
            </w:pPr>
          </w:p>
        </w:tc>
      </w:tr>
      <w:tr w:rsidR="00541219" w14:paraId="36300302"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21072AED" w14:textId="77777777" w:rsidR="00541219" w:rsidRDefault="00000000">
            <w:pPr>
              <w:spacing w:after="0"/>
              <w:ind w:left="0" w:firstLine="0"/>
            </w:pPr>
            <w:r>
              <w:rPr>
                <w:sz w:val="7"/>
              </w:rPr>
              <w:lastRenderedPageBreak/>
              <w:t>Subcláusula Segunda – As instalações de transmissão de âmbito próprio da distribuição poderão ser consideradas integrantes da concessão de distribuição conforme regulação da ANEEL.</w:t>
            </w:r>
          </w:p>
        </w:tc>
        <w:tc>
          <w:tcPr>
            <w:tcW w:w="0" w:type="auto"/>
            <w:gridSpan w:val="2"/>
            <w:vMerge/>
            <w:tcBorders>
              <w:top w:val="nil"/>
              <w:left w:val="single" w:sz="3" w:space="0" w:color="000000"/>
              <w:bottom w:val="nil"/>
              <w:right w:val="nil"/>
            </w:tcBorders>
          </w:tcPr>
          <w:p w14:paraId="2B069287" w14:textId="77777777" w:rsidR="00541219" w:rsidRDefault="00541219">
            <w:pPr>
              <w:spacing w:after="160"/>
              <w:ind w:left="0" w:firstLine="0"/>
            </w:pPr>
          </w:p>
        </w:tc>
      </w:tr>
      <w:tr w:rsidR="00541219" w14:paraId="3E9FDAA9" w14:textId="77777777">
        <w:trPr>
          <w:trHeight w:val="365"/>
        </w:trPr>
        <w:tc>
          <w:tcPr>
            <w:tcW w:w="3727" w:type="dxa"/>
            <w:tcBorders>
              <w:top w:val="single" w:sz="3" w:space="0" w:color="000000"/>
              <w:left w:val="single" w:sz="3" w:space="0" w:color="000000"/>
              <w:bottom w:val="single" w:sz="3" w:space="0" w:color="000000"/>
              <w:right w:val="single" w:sz="3" w:space="0" w:color="000000"/>
            </w:tcBorders>
          </w:tcPr>
          <w:p w14:paraId="6AF045E1" w14:textId="77777777" w:rsidR="00541219" w:rsidRDefault="00000000">
            <w:pPr>
              <w:spacing w:after="0"/>
              <w:ind w:left="0" w:firstLine="0"/>
            </w:pPr>
            <w:r>
              <w:rPr>
                <w:sz w:val="7"/>
              </w:rPr>
              <w:t>Subcláusula Terceira – Respeitados os contratos vigentes, a concessão do serviço público de distribuição de energia elétrica regulada neste CONTRATO não confere à DISTRIBUIDORA direito de exclusividade relativamente aos consumidores de energia elétrica que, por força da legislação e da regulação da ANEEL, possam adquirir energia elétrica de outro fornecedor.</w:t>
            </w:r>
          </w:p>
        </w:tc>
        <w:tc>
          <w:tcPr>
            <w:tcW w:w="0" w:type="auto"/>
            <w:gridSpan w:val="2"/>
            <w:vMerge/>
            <w:tcBorders>
              <w:top w:val="nil"/>
              <w:left w:val="single" w:sz="3" w:space="0" w:color="000000"/>
              <w:bottom w:val="nil"/>
              <w:right w:val="nil"/>
            </w:tcBorders>
          </w:tcPr>
          <w:p w14:paraId="1EB5C6FF" w14:textId="77777777" w:rsidR="00541219" w:rsidRDefault="00541219">
            <w:pPr>
              <w:spacing w:after="160"/>
              <w:ind w:left="0" w:firstLine="0"/>
            </w:pPr>
          </w:p>
        </w:tc>
      </w:tr>
      <w:tr w:rsidR="00541219" w14:paraId="5C2CC30F" w14:textId="77777777">
        <w:trPr>
          <w:trHeight w:val="365"/>
        </w:trPr>
        <w:tc>
          <w:tcPr>
            <w:tcW w:w="3727" w:type="dxa"/>
            <w:tcBorders>
              <w:top w:val="single" w:sz="3" w:space="0" w:color="000000"/>
              <w:left w:val="single" w:sz="3" w:space="0" w:color="000000"/>
              <w:bottom w:val="single" w:sz="3" w:space="0" w:color="000000"/>
              <w:right w:val="single" w:sz="3" w:space="0" w:color="000000"/>
            </w:tcBorders>
          </w:tcPr>
          <w:p w14:paraId="15945DD0" w14:textId="77777777" w:rsidR="00541219" w:rsidRDefault="00000000">
            <w:pPr>
              <w:spacing w:after="0"/>
              <w:ind w:left="0" w:firstLine="0"/>
            </w:pPr>
            <w:r>
              <w:rPr>
                <w:sz w:val="7"/>
              </w:rPr>
              <w:t>Subcláusula Quarta – A concessão do serviço público de distribuição de energia elétrica regulada neste CONTRATO não confere exclusividade de atendimento nas áreas de atuação de cooperativas de eletrificação rural regularizadas pela ANEEL como permissionária de serviço público de distribuição de energia elétrica.</w:t>
            </w:r>
          </w:p>
        </w:tc>
        <w:tc>
          <w:tcPr>
            <w:tcW w:w="0" w:type="auto"/>
            <w:gridSpan w:val="2"/>
            <w:vMerge/>
            <w:tcBorders>
              <w:top w:val="nil"/>
              <w:left w:val="single" w:sz="3" w:space="0" w:color="000000"/>
              <w:bottom w:val="nil"/>
              <w:right w:val="nil"/>
            </w:tcBorders>
          </w:tcPr>
          <w:p w14:paraId="77DFB4EC" w14:textId="77777777" w:rsidR="00541219" w:rsidRDefault="00541219">
            <w:pPr>
              <w:spacing w:after="160"/>
              <w:ind w:left="0" w:firstLine="0"/>
            </w:pPr>
          </w:p>
        </w:tc>
      </w:tr>
      <w:tr w:rsidR="00541219" w14:paraId="02EB7294" w14:textId="77777777">
        <w:trPr>
          <w:trHeight w:val="365"/>
        </w:trPr>
        <w:tc>
          <w:tcPr>
            <w:tcW w:w="3727" w:type="dxa"/>
            <w:tcBorders>
              <w:top w:val="single" w:sz="3" w:space="0" w:color="000000"/>
              <w:left w:val="single" w:sz="3" w:space="0" w:color="000000"/>
              <w:bottom w:val="single" w:sz="3" w:space="0" w:color="000000"/>
              <w:right w:val="single" w:sz="3" w:space="0" w:color="000000"/>
            </w:tcBorders>
          </w:tcPr>
          <w:p w14:paraId="3C440412" w14:textId="77777777" w:rsidR="00541219" w:rsidRDefault="00000000">
            <w:pPr>
              <w:spacing w:after="0"/>
              <w:ind w:left="0" w:firstLine="0"/>
              <w:jc w:val="both"/>
            </w:pPr>
            <w:r>
              <w:rPr>
                <w:sz w:val="7"/>
              </w:rPr>
              <w:t xml:space="preserve">Subcláusula Quinta – A DISTRIBUIDORA aceita que a exploração do serviço público de distribuição de energia </w:t>
            </w:r>
          </w:p>
          <w:p w14:paraId="185CF66A" w14:textId="77777777" w:rsidR="00541219" w:rsidRDefault="00000000">
            <w:pPr>
              <w:spacing w:after="0"/>
              <w:ind w:left="0" w:right="6" w:firstLine="0"/>
            </w:pPr>
            <w:r>
              <w:rPr>
                <w:sz w:val="7"/>
              </w:rPr>
              <w:t>elétrica, de que é titular, seja realizada como função de utilidade pública prioritária, comprometendo-se a somente exercer outras atividades empresariais nos termos e condições previstas na legislação e na regulação da ANEEL, observando-se que:</w:t>
            </w:r>
          </w:p>
        </w:tc>
        <w:tc>
          <w:tcPr>
            <w:tcW w:w="0" w:type="auto"/>
            <w:gridSpan w:val="2"/>
            <w:vMerge/>
            <w:tcBorders>
              <w:top w:val="nil"/>
              <w:left w:val="single" w:sz="3" w:space="0" w:color="000000"/>
              <w:bottom w:val="single" w:sz="3" w:space="0" w:color="000000"/>
              <w:right w:val="nil"/>
            </w:tcBorders>
          </w:tcPr>
          <w:p w14:paraId="41660C1C" w14:textId="77777777" w:rsidR="00541219" w:rsidRDefault="00541219">
            <w:pPr>
              <w:spacing w:after="160"/>
              <w:ind w:left="0" w:firstLine="0"/>
            </w:pPr>
          </w:p>
        </w:tc>
      </w:tr>
      <w:tr w:rsidR="00541219" w14:paraId="057B4A1A" w14:textId="77777777">
        <w:trPr>
          <w:trHeight w:val="430"/>
        </w:trPr>
        <w:tc>
          <w:tcPr>
            <w:tcW w:w="3727" w:type="dxa"/>
            <w:tcBorders>
              <w:top w:val="single" w:sz="3" w:space="0" w:color="000000"/>
              <w:left w:val="single" w:sz="3" w:space="0" w:color="000000"/>
              <w:bottom w:val="single" w:sz="3" w:space="0" w:color="000000"/>
              <w:right w:val="single" w:sz="3" w:space="0" w:color="000000"/>
            </w:tcBorders>
            <w:vAlign w:val="center"/>
          </w:tcPr>
          <w:p w14:paraId="1D975A87" w14:textId="77777777" w:rsidR="00541219" w:rsidRDefault="00000000">
            <w:pPr>
              <w:spacing w:after="0"/>
              <w:ind w:left="497" w:right="19" w:firstLine="0"/>
              <w:jc w:val="both"/>
            </w:pPr>
            <w:r>
              <w:rPr>
                <w:sz w:val="7"/>
              </w:rPr>
              <w:t xml:space="preserve">     I. o exercício de outras atividades e outros serviços estará sujeito à autorização da ANEEL, por meio de regulação ou por autorização específica da ANEEL;</w:t>
            </w:r>
          </w:p>
        </w:tc>
        <w:tc>
          <w:tcPr>
            <w:tcW w:w="3041" w:type="dxa"/>
            <w:tcBorders>
              <w:top w:val="single" w:sz="3" w:space="0" w:color="000000"/>
              <w:left w:val="single" w:sz="3" w:space="0" w:color="000000"/>
              <w:bottom w:val="single" w:sz="3" w:space="0" w:color="000000"/>
              <w:right w:val="single" w:sz="3" w:space="0" w:color="000000"/>
            </w:tcBorders>
          </w:tcPr>
          <w:p w14:paraId="5278C0D0" w14:textId="77777777" w:rsidR="00541219" w:rsidRDefault="00000000">
            <w:pPr>
              <w:spacing w:after="10"/>
              <w:ind w:left="5" w:firstLine="0"/>
            </w:pPr>
            <w:r>
              <w:t>I. o exercício de outras atividades e outros serviços estará sujeito à</w:t>
            </w:r>
          </w:p>
          <w:p w14:paraId="7D89DF40" w14:textId="77777777" w:rsidR="00541219" w:rsidRDefault="00000000">
            <w:pPr>
              <w:spacing w:after="0"/>
              <w:ind w:left="5" w:firstLine="0"/>
              <w:jc w:val="both"/>
            </w:pPr>
            <w:r>
              <w:t xml:space="preserve">autorização da ANEEL, </w:t>
            </w:r>
            <w:r>
              <w:rPr>
                <w:color w:val="FF0000"/>
              </w:rPr>
              <w:t xml:space="preserve">após consulta pública, </w:t>
            </w:r>
            <w:r>
              <w:t>por meio de regulação ou por autorização específica da ANEEL;</w:t>
            </w:r>
          </w:p>
        </w:tc>
        <w:tc>
          <w:tcPr>
            <w:tcW w:w="3473" w:type="dxa"/>
            <w:tcBorders>
              <w:top w:val="single" w:sz="3" w:space="0" w:color="000000"/>
              <w:left w:val="single" w:sz="3" w:space="0" w:color="000000"/>
              <w:bottom w:val="single" w:sz="3" w:space="0" w:color="000000"/>
              <w:right w:val="single" w:sz="3" w:space="0" w:color="000000"/>
            </w:tcBorders>
          </w:tcPr>
          <w:p w14:paraId="2D468579" w14:textId="77777777" w:rsidR="00541219" w:rsidRDefault="00000000" w:rsidP="004E4E94">
            <w:pPr>
              <w:spacing w:after="0"/>
              <w:ind w:left="5" w:firstLine="0"/>
              <w:jc w:val="both"/>
            </w:pPr>
            <w:r>
              <w:t>Esse tema, referente a exercício de outras atividades e outros serviços, tem sido muito questionado pela sociedade, principalmente devido as questões relativas a privilégios que tem a concessionária em relação a concorrência. Portanto, qualquer decisão neste sentido deve passar por consulta pública.</w:t>
            </w:r>
          </w:p>
        </w:tc>
      </w:tr>
      <w:tr w:rsidR="00541219" w14:paraId="2AFDD449"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65D6846F" w14:textId="77777777" w:rsidR="00541219" w:rsidRDefault="00000000">
            <w:pPr>
              <w:spacing w:after="0"/>
              <w:ind w:left="497" w:firstLine="0"/>
            </w:pPr>
            <w:r>
              <w:rPr>
                <w:sz w:val="7"/>
              </w:rPr>
              <w:t xml:space="preserve">     II. a autorização para a DISTRIBUIDORA exercer outras atividades empresariais e oferecer novos serviços aos usuários será por sua conta e risco e deve favorecer a modicidade tarifária;</w:t>
            </w:r>
          </w:p>
        </w:tc>
        <w:tc>
          <w:tcPr>
            <w:tcW w:w="6514" w:type="dxa"/>
            <w:gridSpan w:val="2"/>
            <w:vMerge w:val="restart"/>
            <w:tcBorders>
              <w:top w:val="single" w:sz="3" w:space="0" w:color="000000"/>
              <w:left w:val="single" w:sz="3" w:space="0" w:color="000000"/>
              <w:bottom w:val="single" w:sz="3" w:space="0" w:color="000000"/>
              <w:right w:val="nil"/>
            </w:tcBorders>
          </w:tcPr>
          <w:p w14:paraId="71A390FB" w14:textId="77777777" w:rsidR="00541219" w:rsidRDefault="00541219">
            <w:pPr>
              <w:spacing w:after="160"/>
              <w:ind w:left="0" w:firstLine="0"/>
            </w:pPr>
          </w:p>
        </w:tc>
      </w:tr>
      <w:tr w:rsidR="00541219" w14:paraId="0A54429C" w14:textId="77777777">
        <w:trPr>
          <w:trHeight w:val="365"/>
        </w:trPr>
        <w:tc>
          <w:tcPr>
            <w:tcW w:w="3727" w:type="dxa"/>
            <w:tcBorders>
              <w:top w:val="single" w:sz="3" w:space="0" w:color="000000"/>
              <w:left w:val="single" w:sz="3" w:space="0" w:color="000000"/>
              <w:bottom w:val="single" w:sz="3" w:space="0" w:color="000000"/>
              <w:right w:val="single" w:sz="3" w:space="0" w:color="000000"/>
            </w:tcBorders>
          </w:tcPr>
          <w:p w14:paraId="66C5CBF5" w14:textId="77777777" w:rsidR="00541219" w:rsidRDefault="00000000">
            <w:pPr>
              <w:spacing w:after="0"/>
              <w:ind w:left="497" w:firstLine="0"/>
            </w:pPr>
            <w:r>
              <w:rPr>
                <w:sz w:val="7"/>
              </w:rPr>
              <w:t xml:space="preserve">     III. a regulação da ANEEL poderá estabelecer os requisitos a serem cumpridos pela DISTRIBUIDORA, incluída a opção de restringir a atuação dessas atividades, observados os critérios concorrenciais da nova atividade e os padrões de qualidade do serviço de distribuição e do atendimento comercial, sem prejuízo da competência de outras autoridades; e</w:t>
            </w:r>
          </w:p>
        </w:tc>
        <w:tc>
          <w:tcPr>
            <w:tcW w:w="0" w:type="auto"/>
            <w:gridSpan w:val="2"/>
            <w:vMerge/>
            <w:tcBorders>
              <w:top w:val="nil"/>
              <w:left w:val="single" w:sz="3" w:space="0" w:color="000000"/>
              <w:bottom w:val="nil"/>
              <w:right w:val="nil"/>
            </w:tcBorders>
          </w:tcPr>
          <w:p w14:paraId="4D2E753B" w14:textId="77777777" w:rsidR="00541219" w:rsidRDefault="00541219">
            <w:pPr>
              <w:spacing w:after="160"/>
              <w:ind w:left="0" w:firstLine="0"/>
            </w:pPr>
          </w:p>
        </w:tc>
      </w:tr>
      <w:tr w:rsidR="00541219" w14:paraId="57C7332B"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5D8C1CE8" w14:textId="77777777" w:rsidR="00541219" w:rsidRDefault="00000000">
            <w:pPr>
              <w:spacing w:after="0"/>
              <w:ind w:left="497" w:firstLine="0"/>
            </w:pPr>
            <w:r>
              <w:rPr>
                <w:sz w:val="7"/>
              </w:rPr>
              <w:t xml:space="preserve">     IV. a arrecadação de tributos na fatura de energia elétrica decorrente de obrigação constitucional ou legal não será considerada atividade empresarial ou fonte de receitas alternativas, complementares e acessórias.</w:t>
            </w:r>
          </w:p>
        </w:tc>
        <w:tc>
          <w:tcPr>
            <w:tcW w:w="0" w:type="auto"/>
            <w:gridSpan w:val="2"/>
            <w:vMerge/>
            <w:tcBorders>
              <w:top w:val="nil"/>
              <w:left w:val="single" w:sz="3" w:space="0" w:color="000000"/>
              <w:bottom w:val="single" w:sz="3" w:space="0" w:color="000000"/>
              <w:right w:val="nil"/>
            </w:tcBorders>
          </w:tcPr>
          <w:p w14:paraId="633DDFFF" w14:textId="77777777" w:rsidR="00541219" w:rsidRDefault="00541219">
            <w:pPr>
              <w:spacing w:after="160"/>
              <w:ind w:left="0" w:firstLine="0"/>
            </w:pPr>
          </w:p>
        </w:tc>
      </w:tr>
      <w:tr w:rsidR="00541219" w14:paraId="72B52862" w14:textId="77777777">
        <w:trPr>
          <w:trHeight w:val="434"/>
        </w:trPr>
        <w:tc>
          <w:tcPr>
            <w:tcW w:w="3727" w:type="dxa"/>
            <w:tcBorders>
              <w:top w:val="single" w:sz="3" w:space="0" w:color="000000"/>
              <w:left w:val="single" w:sz="3" w:space="0" w:color="000000"/>
              <w:bottom w:val="single" w:sz="3" w:space="0" w:color="000000"/>
              <w:right w:val="single" w:sz="3" w:space="0" w:color="000000"/>
            </w:tcBorders>
          </w:tcPr>
          <w:p w14:paraId="1002EA4A" w14:textId="77777777" w:rsidR="00541219" w:rsidRDefault="00541219">
            <w:pPr>
              <w:spacing w:after="160"/>
              <w:ind w:left="0" w:firstLine="0"/>
            </w:pPr>
          </w:p>
        </w:tc>
        <w:tc>
          <w:tcPr>
            <w:tcW w:w="3041" w:type="dxa"/>
            <w:tcBorders>
              <w:top w:val="single" w:sz="3" w:space="0" w:color="000000"/>
              <w:left w:val="single" w:sz="3" w:space="0" w:color="000000"/>
              <w:bottom w:val="single" w:sz="3" w:space="0" w:color="000000"/>
              <w:right w:val="single" w:sz="3" w:space="0" w:color="000000"/>
            </w:tcBorders>
          </w:tcPr>
          <w:p w14:paraId="5AE2E169" w14:textId="43B6DFEC" w:rsidR="00541219" w:rsidRDefault="00000000" w:rsidP="004E4E94">
            <w:pPr>
              <w:spacing w:after="0"/>
              <w:ind w:left="5" w:firstLine="0"/>
              <w:jc w:val="both"/>
            </w:pPr>
            <w:r>
              <w:rPr>
                <w:color w:val="FF0000"/>
              </w:rPr>
              <w:t>V</w:t>
            </w:r>
            <w:r w:rsidR="004E4E94">
              <w:rPr>
                <w:color w:val="FF0000"/>
              </w:rPr>
              <w:t xml:space="preserve">- </w:t>
            </w:r>
            <w:r w:rsidR="004E4E94">
              <w:rPr>
                <w:color w:val="FF0000"/>
                <w:sz w:val="7"/>
              </w:rPr>
              <w:t>A</w:t>
            </w:r>
            <w:r>
              <w:t xml:space="preserve"> </w:t>
            </w:r>
            <w:r>
              <w:rPr>
                <w:color w:val="FF0000"/>
              </w:rPr>
              <w:t>arrecadação de valores na fatura de energia, advinda de contrato de prestação de serviço de arrecadação, poderá ser cancelada pelo consumidor a qualquer momento, independente da aprovação da empresa/instituição contratante do serviço. (inclusão)</w:t>
            </w:r>
          </w:p>
        </w:tc>
        <w:tc>
          <w:tcPr>
            <w:tcW w:w="3473" w:type="dxa"/>
            <w:tcBorders>
              <w:top w:val="single" w:sz="3" w:space="0" w:color="000000"/>
              <w:left w:val="single" w:sz="3" w:space="0" w:color="000000"/>
              <w:bottom w:val="single" w:sz="3" w:space="0" w:color="000000"/>
              <w:right w:val="single" w:sz="3" w:space="0" w:color="000000"/>
            </w:tcBorders>
            <w:vAlign w:val="center"/>
          </w:tcPr>
          <w:p w14:paraId="4CEE72C1" w14:textId="77777777" w:rsidR="00541219" w:rsidRDefault="00000000" w:rsidP="004E4E94">
            <w:pPr>
              <w:spacing w:after="0"/>
              <w:ind w:left="5" w:firstLine="0"/>
              <w:jc w:val="both"/>
            </w:pPr>
            <w:r>
              <w:t>Evitar que seja incluído cobrança adicional na fatura de energia e que a concessionária condicione a exclusão da cobrança à autorização da empresa que fez a inclusão</w:t>
            </w:r>
          </w:p>
        </w:tc>
      </w:tr>
      <w:tr w:rsidR="00541219" w14:paraId="55DD1286" w14:textId="77777777">
        <w:trPr>
          <w:trHeight w:val="538"/>
        </w:trPr>
        <w:tc>
          <w:tcPr>
            <w:tcW w:w="3727" w:type="dxa"/>
            <w:tcBorders>
              <w:top w:val="single" w:sz="3" w:space="0" w:color="000000"/>
              <w:left w:val="single" w:sz="3" w:space="0" w:color="000000"/>
              <w:bottom w:val="single" w:sz="3" w:space="0" w:color="000000"/>
              <w:right w:val="single" w:sz="3" w:space="0" w:color="000000"/>
            </w:tcBorders>
          </w:tcPr>
          <w:p w14:paraId="2ADB2260" w14:textId="77777777" w:rsidR="00541219" w:rsidRDefault="00541219">
            <w:pPr>
              <w:spacing w:after="160"/>
              <w:ind w:left="0" w:firstLine="0"/>
            </w:pPr>
          </w:p>
        </w:tc>
        <w:tc>
          <w:tcPr>
            <w:tcW w:w="3041" w:type="dxa"/>
            <w:tcBorders>
              <w:top w:val="single" w:sz="3" w:space="0" w:color="000000"/>
              <w:left w:val="single" w:sz="3" w:space="0" w:color="000000"/>
              <w:bottom w:val="single" w:sz="3" w:space="0" w:color="000000"/>
              <w:right w:val="single" w:sz="3" w:space="0" w:color="000000"/>
            </w:tcBorders>
          </w:tcPr>
          <w:p w14:paraId="33C29092" w14:textId="77777777" w:rsidR="00541219" w:rsidRDefault="00000000" w:rsidP="004E4E94">
            <w:pPr>
              <w:spacing w:after="0"/>
              <w:ind w:left="5" w:firstLine="0"/>
              <w:jc w:val="both"/>
            </w:pPr>
            <w:r>
              <w:rPr>
                <w:color w:val="FF0000"/>
              </w:rPr>
              <w:t>Fica vedado, na área de atuação da DISTRIBUIDORA, a atuação de empresas pertencentes ao mesmo grupo econômico, que exerçam atividades relacionadas a elaboração e execução de serviços, projetos, estudos e instalações relacionadas a energia elétrica, bem como comercialização e geração de energia elétrica.</w:t>
            </w:r>
          </w:p>
        </w:tc>
        <w:tc>
          <w:tcPr>
            <w:tcW w:w="3473" w:type="dxa"/>
            <w:tcBorders>
              <w:top w:val="single" w:sz="3" w:space="0" w:color="000000"/>
              <w:left w:val="single" w:sz="3" w:space="0" w:color="000000"/>
              <w:bottom w:val="single" w:sz="3" w:space="0" w:color="000000"/>
              <w:right w:val="single" w:sz="3" w:space="0" w:color="000000"/>
            </w:tcBorders>
          </w:tcPr>
          <w:p w14:paraId="4A3106C2" w14:textId="77777777" w:rsidR="00541219" w:rsidRDefault="00000000" w:rsidP="004E4E94">
            <w:pPr>
              <w:spacing w:after="0"/>
              <w:ind w:left="5" w:firstLine="0"/>
              <w:jc w:val="both"/>
            </w:pPr>
            <w:r>
              <w:t>A restrição da atuação dessas atividades, é para garantir a equivalência de critérios concorrenciais, pois a Distribuidora por ter toda a base de dados dos clientes, e por estar próxima aos mesmos no dia a dia, poderá usufruir de facilidades e informações que prejudiquem a concorrência. Ver projeto de Lei nº 671/2024 na Câmara dos Deputados.</w:t>
            </w:r>
          </w:p>
        </w:tc>
      </w:tr>
      <w:tr w:rsidR="00541219" w14:paraId="08B5E374" w14:textId="77777777">
        <w:trPr>
          <w:trHeight w:val="458"/>
        </w:trPr>
        <w:tc>
          <w:tcPr>
            <w:tcW w:w="3727" w:type="dxa"/>
            <w:tcBorders>
              <w:top w:val="single" w:sz="3" w:space="0" w:color="000000"/>
              <w:left w:val="single" w:sz="3" w:space="0" w:color="000000"/>
              <w:bottom w:val="single" w:sz="3" w:space="0" w:color="000000"/>
              <w:right w:val="single" w:sz="3" w:space="0" w:color="000000"/>
            </w:tcBorders>
          </w:tcPr>
          <w:p w14:paraId="1D1C748D" w14:textId="77777777" w:rsidR="00541219" w:rsidRDefault="00000000">
            <w:pPr>
              <w:spacing w:after="0" w:line="254" w:lineRule="auto"/>
              <w:ind w:left="0" w:firstLine="0"/>
              <w:jc w:val="both"/>
            </w:pPr>
            <w:r>
              <w:rPr>
                <w:sz w:val="7"/>
              </w:rPr>
              <w:t xml:space="preserve">Subcláusula Sexta – Quaisquer normas, instruções, regulação ou determinações de caráter geral aplicáveis às prestadoras de serviço público de distribuição de energia elétrica, quando expedidas pelo PODER </w:t>
            </w:r>
          </w:p>
          <w:p w14:paraId="67AFFED7" w14:textId="77777777" w:rsidR="00541219" w:rsidRDefault="00000000">
            <w:pPr>
              <w:spacing w:after="0"/>
              <w:ind w:left="0" w:firstLine="0"/>
            </w:pPr>
            <w:r>
              <w:rPr>
                <w:sz w:val="7"/>
              </w:rPr>
              <w:t>CONCEDENTE ou pela ANEEL, aplicar-se-ão automaticamente ao objeto da concessão ora contratada, a elas submetendo-se a DISTRIBUIDORA como condições implícitas e integrantes deste CONTRATO, observado o disposto na Subcláusula Décima Sétima da Cláusula Sexta.</w:t>
            </w:r>
          </w:p>
        </w:tc>
        <w:tc>
          <w:tcPr>
            <w:tcW w:w="6514" w:type="dxa"/>
            <w:gridSpan w:val="2"/>
            <w:vMerge w:val="restart"/>
            <w:tcBorders>
              <w:top w:val="single" w:sz="3" w:space="0" w:color="000000"/>
              <w:left w:val="single" w:sz="3" w:space="0" w:color="000000"/>
              <w:bottom w:val="single" w:sz="3" w:space="0" w:color="000000"/>
              <w:right w:val="nil"/>
            </w:tcBorders>
          </w:tcPr>
          <w:p w14:paraId="65D07218" w14:textId="77777777" w:rsidR="00541219" w:rsidRDefault="00541219">
            <w:pPr>
              <w:spacing w:after="160"/>
              <w:ind w:left="0" w:firstLine="0"/>
            </w:pPr>
          </w:p>
        </w:tc>
      </w:tr>
      <w:tr w:rsidR="00541219" w14:paraId="4354150C"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44E39FB9" w14:textId="77777777" w:rsidR="00541219" w:rsidRDefault="00000000">
            <w:pPr>
              <w:spacing w:after="0"/>
              <w:ind w:left="0" w:firstLine="0"/>
            </w:pPr>
            <w:r>
              <w:rPr>
                <w:sz w:val="7"/>
              </w:rPr>
              <w:t>Subcláusula Sétima – A DISTRIBUIDORA deverá ceder ou incorporar, conforme determinação do PODER CONCEDENTE ou da ANEEL, ativos provenientes de outras Concessões ou de Agentes do Setor Elétrico.</w:t>
            </w:r>
          </w:p>
        </w:tc>
        <w:tc>
          <w:tcPr>
            <w:tcW w:w="0" w:type="auto"/>
            <w:gridSpan w:val="2"/>
            <w:vMerge/>
            <w:tcBorders>
              <w:top w:val="nil"/>
              <w:left w:val="single" w:sz="3" w:space="0" w:color="000000"/>
              <w:bottom w:val="nil"/>
              <w:right w:val="nil"/>
            </w:tcBorders>
          </w:tcPr>
          <w:p w14:paraId="6B735A17" w14:textId="77777777" w:rsidR="00541219" w:rsidRDefault="00541219">
            <w:pPr>
              <w:spacing w:after="160"/>
              <w:ind w:left="0" w:firstLine="0"/>
            </w:pPr>
          </w:p>
        </w:tc>
      </w:tr>
      <w:tr w:rsidR="00541219" w14:paraId="0E89D06C" w14:textId="77777777">
        <w:trPr>
          <w:trHeight w:val="458"/>
        </w:trPr>
        <w:tc>
          <w:tcPr>
            <w:tcW w:w="3727" w:type="dxa"/>
            <w:tcBorders>
              <w:top w:val="single" w:sz="3" w:space="0" w:color="000000"/>
              <w:left w:val="single" w:sz="3" w:space="0" w:color="000000"/>
              <w:bottom w:val="single" w:sz="3" w:space="0" w:color="000000"/>
              <w:right w:val="single" w:sz="3" w:space="0" w:color="000000"/>
            </w:tcBorders>
          </w:tcPr>
          <w:p w14:paraId="0BB84E65" w14:textId="77777777" w:rsidR="00541219" w:rsidRDefault="00000000">
            <w:pPr>
              <w:spacing w:after="0"/>
              <w:ind w:left="0" w:firstLine="0"/>
            </w:pPr>
            <w:r>
              <w:rPr>
                <w:sz w:val="7"/>
              </w:rPr>
              <w:t>Subcláusula Oitava – A regulação da ANEEL poderá facultar a terceiros a execução de serviços inicialmente prestados pela concessionária e passíveis de serem exercidos em ambiente competitivo, com vistas a beneficiar o usuário com a ampliação da concorrência no setor elétrico, observada a economicidade na prestação do serviço e assegurada a preservação do equilíbrio econômico-financeiro da concessão.</w:t>
            </w:r>
          </w:p>
        </w:tc>
        <w:tc>
          <w:tcPr>
            <w:tcW w:w="0" w:type="auto"/>
            <w:gridSpan w:val="2"/>
            <w:vMerge/>
            <w:tcBorders>
              <w:top w:val="nil"/>
              <w:left w:val="single" w:sz="3" w:space="0" w:color="000000"/>
              <w:bottom w:val="nil"/>
              <w:right w:val="nil"/>
            </w:tcBorders>
          </w:tcPr>
          <w:p w14:paraId="38A434C9" w14:textId="77777777" w:rsidR="00541219" w:rsidRDefault="00541219">
            <w:pPr>
              <w:spacing w:after="160"/>
              <w:ind w:left="0" w:firstLine="0"/>
            </w:pPr>
          </w:p>
        </w:tc>
      </w:tr>
      <w:tr w:rsidR="00541219" w14:paraId="09426A3E" w14:textId="77777777">
        <w:trPr>
          <w:trHeight w:val="330"/>
        </w:trPr>
        <w:tc>
          <w:tcPr>
            <w:tcW w:w="3727" w:type="dxa"/>
            <w:tcBorders>
              <w:top w:val="single" w:sz="3" w:space="0" w:color="000000"/>
              <w:left w:val="single" w:sz="3" w:space="0" w:color="000000"/>
              <w:bottom w:val="double" w:sz="3" w:space="0" w:color="000000"/>
              <w:right w:val="single" w:sz="3" w:space="0" w:color="000000"/>
            </w:tcBorders>
          </w:tcPr>
          <w:p w14:paraId="580D8B10" w14:textId="77777777" w:rsidR="00541219" w:rsidRDefault="00000000">
            <w:pPr>
              <w:spacing w:after="0"/>
              <w:ind w:left="497" w:firstLine="0"/>
            </w:pPr>
            <w:r>
              <w:rPr>
                <w:sz w:val="7"/>
              </w:rPr>
              <w:t>Parágrafo Único. A separação dos serviços passíveis de serem exercidos em ambiente competitivo por terceiros de que trata o caput da Subcláusula Oitava será adequadamente refletida na contabilidade para fins regulatórios, conforme estabelecido em regulação da ANEEL.</w:t>
            </w:r>
          </w:p>
        </w:tc>
        <w:tc>
          <w:tcPr>
            <w:tcW w:w="0" w:type="auto"/>
            <w:gridSpan w:val="2"/>
            <w:vMerge/>
            <w:tcBorders>
              <w:top w:val="nil"/>
              <w:left w:val="single" w:sz="3" w:space="0" w:color="000000"/>
              <w:bottom w:val="nil"/>
              <w:right w:val="nil"/>
            </w:tcBorders>
          </w:tcPr>
          <w:p w14:paraId="1A9CB7C3" w14:textId="77777777" w:rsidR="00541219" w:rsidRDefault="00541219">
            <w:pPr>
              <w:spacing w:after="160"/>
              <w:ind w:left="0" w:firstLine="0"/>
            </w:pPr>
          </w:p>
        </w:tc>
      </w:tr>
      <w:tr w:rsidR="00541219" w14:paraId="05574859" w14:textId="77777777">
        <w:trPr>
          <w:trHeight w:val="515"/>
        </w:trPr>
        <w:tc>
          <w:tcPr>
            <w:tcW w:w="3727" w:type="dxa"/>
            <w:tcBorders>
              <w:top w:val="double" w:sz="3" w:space="0" w:color="000000"/>
              <w:left w:val="single" w:sz="3" w:space="0" w:color="000000"/>
              <w:bottom w:val="single" w:sz="3" w:space="0" w:color="000000"/>
              <w:right w:val="single" w:sz="3" w:space="0" w:color="000000"/>
            </w:tcBorders>
          </w:tcPr>
          <w:p w14:paraId="53F27B0E" w14:textId="77777777" w:rsidR="00541219" w:rsidRDefault="00000000">
            <w:pPr>
              <w:spacing w:after="0"/>
              <w:ind w:left="2" w:firstLine="0"/>
            </w:pPr>
            <w:r>
              <w:t>CLÁUSULA SEGUNDA – CONDIÇÕES DE PRESTAÇÃO DO SERVIÇO PÚBLICO</w:t>
            </w:r>
          </w:p>
          <w:p w14:paraId="18679A36" w14:textId="77777777" w:rsidR="00541219" w:rsidRDefault="00000000">
            <w:pPr>
              <w:spacing w:after="0"/>
              <w:ind w:left="0" w:firstLine="0"/>
            </w:pPr>
            <w:r>
              <w:rPr>
                <w:sz w:val="7"/>
              </w:rPr>
              <w:t xml:space="preserve">Na prestação do serviço público de distribuição de energia elétrica referido neste CONTRATO, a </w:t>
            </w:r>
          </w:p>
          <w:p w14:paraId="5993C017" w14:textId="77777777" w:rsidR="00541219" w:rsidRDefault="00000000">
            <w:pPr>
              <w:spacing w:after="0"/>
              <w:ind w:left="0" w:right="83" w:firstLine="0"/>
              <w:jc w:val="both"/>
            </w:pPr>
            <w:r>
              <w:rPr>
                <w:sz w:val="7"/>
              </w:rPr>
              <w:t>DISTRIBUIDORA se compromete com a prestação do serviço adequado, tendo ampla liberdade na direção de seus negócios, investimentos, pessoal, material e tecnologia, observadas as prescrições deste CONTRATO e das normas legais e regulamentares, assim como as instruções e determinações do PODER CONCEDENTE e da ANEEL.</w:t>
            </w:r>
          </w:p>
        </w:tc>
        <w:tc>
          <w:tcPr>
            <w:tcW w:w="0" w:type="auto"/>
            <w:gridSpan w:val="2"/>
            <w:vMerge/>
            <w:tcBorders>
              <w:top w:val="nil"/>
              <w:left w:val="single" w:sz="3" w:space="0" w:color="000000"/>
              <w:bottom w:val="nil"/>
              <w:right w:val="nil"/>
            </w:tcBorders>
          </w:tcPr>
          <w:p w14:paraId="143D0E38" w14:textId="77777777" w:rsidR="00541219" w:rsidRDefault="00541219">
            <w:pPr>
              <w:spacing w:after="160"/>
              <w:ind w:left="0" w:firstLine="0"/>
            </w:pPr>
          </w:p>
        </w:tc>
      </w:tr>
      <w:tr w:rsidR="00541219" w14:paraId="384A187C" w14:textId="77777777">
        <w:trPr>
          <w:trHeight w:val="365"/>
        </w:trPr>
        <w:tc>
          <w:tcPr>
            <w:tcW w:w="3727" w:type="dxa"/>
            <w:tcBorders>
              <w:top w:val="single" w:sz="3" w:space="0" w:color="000000"/>
              <w:left w:val="single" w:sz="3" w:space="0" w:color="000000"/>
              <w:bottom w:val="single" w:sz="3" w:space="0" w:color="000000"/>
              <w:right w:val="single" w:sz="3" w:space="0" w:color="000000"/>
            </w:tcBorders>
          </w:tcPr>
          <w:p w14:paraId="007F352F" w14:textId="77777777" w:rsidR="00541219" w:rsidRDefault="00000000">
            <w:pPr>
              <w:spacing w:after="0"/>
              <w:ind w:left="0" w:firstLine="0"/>
            </w:pPr>
            <w:r>
              <w:rPr>
                <w:sz w:val="7"/>
              </w:rPr>
              <w:t>Subcláusula Primeira – A DISTRIBUIDORA obriga-se a adotar tecnologia adequada e a empregar métodos operativos, materiais, equipamentos e instalações que, atendidas as normas técnicas brasileiras, garantam a prestação do serviço adequado de distribuição de energia elétrica, inclusive a segurança das pessoas e das instalações, na forma prevista nas normas setoriais.</w:t>
            </w:r>
          </w:p>
        </w:tc>
        <w:tc>
          <w:tcPr>
            <w:tcW w:w="0" w:type="auto"/>
            <w:gridSpan w:val="2"/>
            <w:vMerge/>
            <w:tcBorders>
              <w:top w:val="nil"/>
              <w:left w:val="single" w:sz="3" w:space="0" w:color="000000"/>
              <w:bottom w:val="single" w:sz="3" w:space="0" w:color="000000"/>
              <w:right w:val="nil"/>
            </w:tcBorders>
          </w:tcPr>
          <w:p w14:paraId="2B27FE0E" w14:textId="77777777" w:rsidR="00541219" w:rsidRDefault="00541219">
            <w:pPr>
              <w:spacing w:after="160"/>
              <w:ind w:left="0" w:firstLine="0"/>
            </w:pPr>
          </w:p>
        </w:tc>
      </w:tr>
      <w:tr w:rsidR="00541219" w14:paraId="794D287A" w14:textId="77777777">
        <w:trPr>
          <w:trHeight w:val="758"/>
        </w:trPr>
        <w:tc>
          <w:tcPr>
            <w:tcW w:w="3727" w:type="dxa"/>
            <w:tcBorders>
              <w:top w:val="single" w:sz="3" w:space="0" w:color="000000"/>
              <w:left w:val="single" w:sz="3" w:space="0" w:color="000000"/>
              <w:bottom w:val="single" w:sz="3" w:space="0" w:color="000000"/>
              <w:right w:val="single" w:sz="3" w:space="0" w:color="000000"/>
            </w:tcBorders>
            <w:vAlign w:val="center"/>
          </w:tcPr>
          <w:p w14:paraId="0D9A1146" w14:textId="77777777" w:rsidR="00541219" w:rsidRDefault="00000000">
            <w:pPr>
              <w:spacing w:after="0"/>
              <w:ind w:left="0" w:firstLine="0"/>
            </w:pPr>
            <w:r>
              <w:rPr>
                <w:sz w:val="7"/>
              </w:rPr>
              <w:t>Subcláusula Segunda – A prestação do serviço adequado pressupõe a adoção das melhores práticas setoriais e das normas aplicáveis, notadamente quanto à operação, manutenção, planejamento do sistema elétrico e modernização das técnicas, dos equipamentos e das instalações.</w:t>
            </w:r>
          </w:p>
        </w:tc>
        <w:tc>
          <w:tcPr>
            <w:tcW w:w="3041" w:type="dxa"/>
            <w:tcBorders>
              <w:top w:val="single" w:sz="3" w:space="0" w:color="000000"/>
              <w:left w:val="single" w:sz="3" w:space="0" w:color="000000"/>
              <w:bottom w:val="single" w:sz="3" w:space="0" w:color="000000"/>
              <w:right w:val="single" w:sz="3" w:space="0" w:color="000000"/>
            </w:tcBorders>
          </w:tcPr>
          <w:p w14:paraId="6A95597B" w14:textId="77777777" w:rsidR="00541219" w:rsidRDefault="00000000">
            <w:pPr>
              <w:spacing w:after="0"/>
              <w:ind w:left="5" w:right="31" w:firstLine="0"/>
              <w:jc w:val="both"/>
            </w:pPr>
            <w:r>
              <w:t xml:space="preserve">Cláusula Segunda- Subcláusula Segunda – A prestação do serviço adequado pressupõe a adoção das melhores práticas setoriais e das normas aplicáveis, notadamente quanto </w:t>
            </w:r>
            <w:r>
              <w:rPr>
                <w:color w:val="FF0000"/>
              </w:rPr>
              <w:t xml:space="preserve">ao planejamento, </w:t>
            </w:r>
            <w:r>
              <w:t xml:space="preserve">à operação, manutenção do sistema elétrico e modernização das técnicas, dos equipamentos e das instalações. </w:t>
            </w:r>
            <w:r>
              <w:rPr>
                <w:color w:val="FF0000"/>
              </w:rPr>
              <w:t>Serão consideradas as melhores práticas as referenciadas por indicadores benchmarking estratégico de qualidade setorial.</w:t>
            </w:r>
          </w:p>
        </w:tc>
        <w:tc>
          <w:tcPr>
            <w:tcW w:w="3473" w:type="dxa"/>
            <w:tcBorders>
              <w:top w:val="single" w:sz="3" w:space="0" w:color="000000"/>
              <w:left w:val="single" w:sz="3" w:space="0" w:color="000000"/>
              <w:bottom w:val="single" w:sz="3" w:space="0" w:color="000000"/>
              <w:right w:val="single" w:sz="3" w:space="0" w:color="000000"/>
            </w:tcBorders>
            <w:vAlign w:val="center"/>
          </w:tcPr>
          <w:p w14:paraId="7E96C694" w14:textId="77777777" w:rsidR="00541219" w:rsidRDefault="00000000">
            <w:pPr>
              <w:spacing w:after="0"/>
              <w:ind w:left="5" w:right="25" w:firstLine="0"/>
              <w:jc w:val="both"/>
            </w:pPr>
            <w:r>
              <w:t>Para que uma prática seja adotada esta deve ter comprovada a sua eficácia e a melhor forma será selecionar práticas que tenham comprovada eficácia por indicadores de qualidade.</w:t>
            </w:r>
          </w:p>
        </w:tc>
      </w:tr>
      <w:tr w:rsidR="00541219" w14:paraId="23488CF6"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2016D552" w14:textId="77777777" w:rsidR="00541219" w:rsidRDefault="00000000">
            <w:pPr>
              <w:spacing w:after="0"/>
              <w:ind w:left="0" w:firstLine="0"/>
            </w:pPr>
            <w:r>
              <w:rPr>
                <w:sz w:val="7"/>
              </w:rPr>
              <w:t>Subcláusula Terceira – A DISTRIBUIDORA atenderá aos pedidos dos interessados para a utilização do serviço concedido, nas condições estabelecidas nos contratos e na regulação da ANEEL, assegurando o tratamento não discriminatório a todos os usuários.</w:t>
            </w:r>
          </w:p>
        </w:tc>
        <w:tc>
          <w:tcPr>
            <w:tcW w:w="6514" w:type="dxa"/>
            <w:gridSpan w:val="2"/>
            <w:vMerge w:val="restart"/>
            <w:tcBorders>
              <w:top w:val="single" w:sz="3" w:space="0" w:color="000000"/>
              <w:left w:val="single" w:sz="3" w:space="0" w:color="000000"/>
              <w:bottom w:val="single" w:sz="3" w:space="0" w:color="000000"/>
              <w:right w:val="nil"/>
            </w:tcBorders>
          </w:tcPr>
          <w:p w14:paraId="27026E27" w14:textId="77777777" w:rsidR="00541219" w:rsidRDefault="00541219">
            <w:pPr>
              <w:spacing w:after="160"/>
              <w:ind w:left="0" w:firstLine="0"/>
            </w:pPr>
          </w:p>
        </w:tc>
      </w:tr>
      <w:tr w:rsidR="00541219" w14:paraId="34E2FA71"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31547516" w14:textId="77777777" w:rsidR="00541219" w:rsidRDefault="00000000">
            <w:pPr>
              <w:spacing w:after="0"/>
              <w:ind w:left="0" w:firstLine="0"/>
            </w:pPr>
            <w:r>
              <w:rPr>
                <w:sz w:val="7"/>
              </w:rPr>
              <w:t>Subcláusula Quarta – A suspensão do serviço de distribuição de energia elétrica dar-se-á por razões de ordem técnica ou de segurança e por inadimplemento do usuário, considerado o interesse da coletividade, conforme regulação da ANEEL.</w:t>
            </w:r>
          </w:p>
        </w:tc>
        <w:tc>
          <w:tcPr>
            <w:tcW w:w="0" w:type="auto"/>
            <w:gridSpan w:val="2"/>
            <w:vMerge/>
            <w:tcBorders>
              <w:top w:val="nil"/>
              <w:left w:val="single" w:sz="3" w:space="0" w:color="000000"/>
              <w:bottom w:val="nil"/>
              <w:right w:val="nil"/>
            </w:tcBorders>
          </w:tcPr>
          <w:p w14:paraId="101C9DEB" w14:textId="77777777" w:rsidR="00541219" w:rsidRDefault="00541219">
            <w:pPr>
              <w:spacing w:after="160"/>
              <w:ind w:left="0" w:firstLine="0"/>
            </w:pPr>
          </w:p>
        </w:tc>
      </w:tr>
      <w:tr w:rsidR="00541219" w14:paraId="24A3D169"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02AE9221" w14:textId="77777777" w:rsidR="00541219" w:rsidRDefault="00000000">
            <w:pPr>
              <w:spacing w:after="0"/>
              <w:ind w:left="0" w:firstLine="0"/>
            </w:pPr>
            <w:r>
              <w:rPr>
                <w:sz w:val="7"/>
              </w:rPr>
              <w:t xml:space="preserve">Subcláusula Quinta – Na exploração do serviço público de distribuição de energia elétrica objeto deste </w:t>
            </w:r>
          </w:p>
          <w:p w14:paraId="7E289DA1" w14:textId="77777777" w:rsidR="00541219" w:rsidRDefault="00000000">
            <w:pPr>
              <w:spacing w:after="0"/>
              <w:ind w:left="0" w:firstLine="0"/>
              <w:jc w:val="both"/>
            </w:pPr>
            <w:r>
              <w:rPr>
                <w:sz w:val="7"/>
              </w:rPr>
              <w:t>CONTRATO, a DISTRIBUIDORA deverá observar o tratamento isonômico, inclusive tarifário, dos seus usuários, conforme regulação da ANEEL.</w:t>
            </w:r>
          </w:p>
        </w:tc>
        <w:tc>
          <w:tcPr>
            <w:tcW w:w="0" w:type="auto"/>
            <w:gridSpan w:val="2"/>
            <w:vMerge/>
            <w:tcBorders>
              <w:top w:val="nil"/>
              <w:left w:val="single" w:sz="3" w:space="0" w:color="000000"/>
              <w:bottom w:val="single" w:sz="3" w:space="0" w:color="000000"/>
              <w:right w:val="nil"/>
            </w:tcBorders>
          </w:tcPr>
          <w:p w14:paraId="773418AE" w14:textId="77777777" w:rsidR="00541219" w:rsidRDefault="00541219">
            <w:pPr>
              <w:spacing w:after="160"/>
              <w:ind w:left="0" w:firstLine="0"/>
            </w:pPr>
          </w:p>
        </w:tc>
      </w:tr>
      <w:tr w:rsidR="00541219" w14:paraId="18B4A3F6" w14:textId="77777777">
        <w:trPr>
          <w:trHeight w:val="216"/>
        </w:trPr>
        <w:tc>
          <w:tcPr>
            <w:tcW w:w="3727" w:type="dxa"/>
            <w:tcBorders>
              <w:top w:val="single" w:sz="3" w:space="0" w:color="000000"/>
              <w:left w:val="single" w:sz="3" w:space="0" w:color="000000"/>
              <w:bottom w:val="single" w:sz="3" w:space="0" w:color="000000"/>
              <w:right w:val="single" w:sz="3" w:space="0" w:color="000000"/>
            </w:tcBorders>
          </w:tcPr>
          <w:p w14:paraId="3BA568E9" w14:textId="77777777" w:rsidR="00541219" w:rsidRDefault="00000000">
            <w:pPr>
              <w:spacing w:after="0"/>
              <w:ind w:left="0" w:firstLine="0"/>
            </w:pPr>
            <w:r>
              <w:rPr>
                <w:sz w:val="7"/>
              </w:rPr>
              <w:t>Subcláusula Sexta – A DISTRIBUIDORA se compromete a respeitar os padrões de qualidade estabelecidos pela ANEEL.</w:t>
            </w:r>
          </w:p>
        </w:tc>
        <w:tc>
          <w:tcPr>
            <w:tcW w:w="3041" w:type="dxa"/>
            <w:tcBorders>
              <w:top w:val="single" w:sz="3" w:space="0" w:color="000000"/>
              <w:left w:val="single" w:sz="3" w:space="0" w:color="000000"/>
              <w:bottom w:val="single" w:sz="3" w:space="0" w:color="000000"/>
              <w:right w:val="single" w:sz="3" w:space="0" w:color="000000"/>
            </w:tcBorders>
          </w:tcPr>
          <w:p w14:paraId="53B67C39" w14:textId="77777777" w:rsidR="00541219" w:rsidRDefault="00000000">
            <w:pPr>
              <w:spacing w:after="0"/>
              <w:ind w:left="5" w:firstLine="0"/>
            </w:pPr>
            <w:r>
              <w:rPr>
                <w:rFonts w:ascii="Calibri" w:eastAsia="Calibri" w:hAnsi="Calibri" w:cs="Calibri"/>
                <w:noProof/>
                <w:sz w:val="22"/>
              </w:rPr>
              <mc:AlternateContent>
                <mc:Choice Requires="wpg">
                  <w:drawing>
                    <wp:anchor distT="0" distB="0" distL="114300" distR="114300" simplePos="0" relativeHeight="251661312" behindDoc="1" locked="0" layoutInCell="1" allowOverlap="1" wp14:anchorId="763B633A" wp14:editId="5F5A9730">
                      <wp:simplePos x="0" y="0"/>
                      <wp:positionH relativeFrom="column">
                        <wp:posOffset>597408</wp:posOffset>
                      </wp:positionH>
                      <wp:positionV relativeFrom="paragraph">
                        <wp:posOffset>25812</wp:posOffset>
                      </wp:positionV>
                      <wp:extent cx="313944" cy="3048"/>
                      <wp:effectExtent l="0" t="0" r="0" b="0"/>
                      <wp:wrapNone/>
                      <wp:docPr id="109849" name="Group 109849"/>
                      <wp:cNvGraphicFramePr/>
                      <a:graphic xmlns:a="http://schemas.openxmlformats.org/drawingml/2006/main">
                        <a:graphicData uri="http://schemas.microsoft.com/office/word/2010/wordprocessingGroup">
                          <wpg:wgp>
                            <wpg:cNvGrpSpPr/>
                            <wpg:grpSpPr>
                              <a:xfrm>
                                <a:off x="0" y="0"/>
                                <a:ext cx="313944" cy="3048"/>
                                <a:chOff x="0" y="0"/>
                                <a:chExt cx="313944" cy="3048"/>
                              </a:xfrm>
                            </wpg:grpSpPr>
                            <wps:wsp>
                              <wps:cNvPr id="135636" name="Shape 135636"/>
                              <wps:cNvSpPr/>
                              <wps:spPr>
                                <a:xfrm>
                                  <a:off x="0" y="0"/>
                                  <a:ext cx="313944" cy="9144"/>
                                </a:xfrm>
                                <a:custGeom>
                                  <a:avLst/>
                                  <a:gdLst/>
                                  <a:ahLst/>
                                  <a:cxnLst/>
                                  <a:rect l="0" t="0" r="0" b="0"/>
                                  <a:pathLst>
                                    <a:path w="313944" h="9144">
                                      <a:moveTo>
                                        <a:pt x="0" y="0"/>
                                      </a:moveTo>
                                      <a:lnTo>
                                        <a:pt x="313944" y="0"/>
                                      </a:lnTo>
                                      <a:lnTo>
                                        <a:pt x="3139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09849" style="width:24.72pt;height:0.23999pt;position:absolute;z-index:-2147483470;mso-position-horizontal-relative:text;mso-position-horizontal:absolute;margin-left:47.04pt;mso-position-vertical-relative:text;margin-top:2.03247pt;" coordsize="3139,30">
                      <v:shape id="Shape 135637" style="position:absolute;width:3139;height:91;left:0;top:0;" coordsize="313944,9144" path="m0,0l313944,0l313944,9144l0,9144l0,0">
                        <v:stroke weight="0pt" endcap="flat" joinstyle="miter" miterlimit="10" on="false" color="#000000" opacity="0"/>
                        <v:fill on="true" color="#000000"/>
                      </v:shape>
                    </v:group>
                  </w:pict>
                </mc:Fallback>
              </mc:AlternateContent>
            </w:r>
            <w:r>
              <w:t xml:space="preserve">A DISTRIBUIDORA se </w:t>
            </w:r>
            <w:proofErr w:type="gramStart"/>
            <w:r>
              <w:t xml:space="preserve">compromete  </w:t>
            </w:r>
            <w:r>
              <w:rPr>
                <w:color w:val="FF0000"/>
              </w:rPr>
              <w:t>obriga</w:t>
            </w:r>
            <w:proofErr w:type="gramEnd"/>
            <w:r>
              <w:t xml:space="preserve"> a respeitar os padrões de qualidade </w:t>
            </w:r>
            <w:r>
              <w:rPr>
                <w:color w:val="FF0000"/>
              </w:rPr>
              <w:t xml:space="preserve">e segurança </w:t>
            </w:r>
            <w:r>
              <w:t>estabelecidos pela ANEEL.</w:t>
            </w:r>
          </w:p>
        </w:tc>
        <w:tc>
          <w:tcPr>
            <w:tcW w:w="3473" w:type="dxa"/>
            <w:tcBorders>
              <w:top w:val="single" w:sz="3" w:space="0" w:color="000000"/>
              <w:left w:val="single" w:sz="3" w:space="0" w:color="000000"/>
              <w:bottom w:val="single" w:sz="3" w:space="0" w:color="000000"/>
              <w:right w:val="single" w:sz="3" w:space="0" w:color="000000"/>
            </w:tcBorders>
          </w:tcPr>
          <w:p w14:paraId="1AC87EC9" w14:textId="77777777" w:rsidR="00541219" w:rsidRDefault="00000000">
            <w:pPr>
              <w:spacing w:after="0"/>
              <w:ind w:left="5" w:firstLine="0"/>
            </w:pPr>
            <w:r>
              <w:t>É obrigação da Distribuidora cumprir os padrões de qualidade e segurança.</w:t>
            </w:r>
          </w:p>
        </w:tc>
      </w:tr>
      <w:tr w:rsidR="00541219" w14:paraId="06205D1C"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6502DE05" w14:textId="77777777" w:rsidR="00541219" w:rsidRDefault="00000000">
            <w:pPr>
              <w:spacing w:after="0"/>
              <w:ind w:left="497" w:right="78" w:firstLine="0"/>
              <w:jc w:val="both"/>
            </w:pPr>
            <w:r>
              <w:rPr>
                <w:sz w:val="7"/>
              </w:rPr>
              <w:t>Parágrafo Primeiro – A DISTRIBUIDORA obriga-se a apurar e divulgar os indicadores estabelecidos pela ANEEL, creditando ao usuário compensação por descumprimento, conforme regulação da ANEEL, sem prejuízo da aplicação das penalidades previstas.</w:t>
            </w:r>
          </w:p>
        </w:tc>
        <w:tc>
          <w:tcPr>
            <w:tcW w:w="6514" w:type="dxa"/>
            <w:gridSpan w:val="2"/>
            <w:vMerge w:val="restart"/>
            <w:tcBorders>
              <w:top w:val="single" w:sz="3" w:space="0" w:color="000000"/>
              <w:left w:val="single" w:sz="3" w:space="0" w:color="000000"/>
              <w:bottom w:val="nil"/>
              <w:right w:val="nil"/>
            </w:tcBorders>
          </w:tcPr>
          <w:p w14:paraId="3A0C54DC" w14:textId="77777777" w:rsidR="00541219" w:rsidRDefault="00541219">
            <w:pPr>
              <w:spacing w:after="160"/>
              <w:ind w:left="0" w:firstLine="0"/>
            </w:pPr>
          </w:p>
        </w:tc>
      </w:tr>
      <w:tr w:rsidR="00541219" w14:paraId="4EBEF447"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22A09ED7" w14:textId="77777777" w:rsidR="00541219" w:rsidRDefault="00000000">
            <w:pPr>
              <w:spacing w:after="0"/>
              <w:ind w:left="497" w:firstLine="0"/>
              <w:jc w:val="both"/>
            </w:pPr>
            <w:r>
              <w:rPr>
                <w:sz w:val="7"/>
              </w:rPr>
              <w:t>Parágrafo Segundo – A ANEEL estabelecerá padrões de continuidade a serem observados pela DISTRIBUIDORA, contemplando, no mínimo:</w:t>
            </w:r>
          </w:p>
        </w:tc>
        <w:tc>
          <w:tcPr>
            <w:tcW w:w="0" w:type="auto"/>
            <w:gridSpan w:val="2"/>
            <w:vMerge/>
            <w:tcBorders>
              <w:top w:val="nil"/>
              <w:left w:val="single" w:sz="3" w:space="0" w:color="000000"/>
              <w:bottom w:val="nil"/>
              <w:right w:val="nil"/>
            </w:tcBorders>
          </w:tcPr>
          <w:p w14:paraId="06FA6345" w14:textId="77777777" w:rsidR="00541219" w:rsidRDefault="00541219">
            <w:pPr>
              <w:spacing w:after="160"/>
              <w:ind w:left="0" w:firstLine="0"/>
            </w:pPr>
          </w:p>
        </w:tc>
      </w:tr>
      <w:tr w:rsidR="00541219" w14:paraId="1AEA676E"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0EAE3A10" w14:textId="77777777" w:rsidR="00541219" w:rsidRDefault="00000000">
            <w:pPr>
              <w:spacing w:after="0"/>
              <w:ind w:left="994" w:firstLine="0"/>
            </w:pPr>
            <w:r>
              <w:rPr>
                <w:sz w:val="7"/>
              </w:rPr>
              <w:t xml:space="preserve">     I. o cumprimento dos limites globais de continuidade e o percentual mínimo de cumprimento dos limites dos conjuntos de unidades consumidoras;</w:t>
            </w:r>
          </w:p>
        </w:tc>
        <w:tc>
          <w:tcPr>
            <w:tcW w:w="0" w:type="auto"/>
            <w:gridSpan w:val="2"/>
            <w:vMerge/>
            <w:tcBorders>
              <w:top w:val="nil"/>
              <w:left w:val="single" w:sz="3" w:space="0" w:color="000000"/>
              <w:bottom w:val="nil"/>
              <w:right w:val="nil"/>
            </w:tcBorders>
          </w:tcPr>
          <w:p w14:paraId="4CF62B5D" w14:textId="77777777" w:rsidR="00541219" w:rsidRDefault="00541219">
            <w:pPr>
              <w:spacing w:after="160"/>
              <w:ind w:left="0" w:firstLine="0"/>
            </w:pPr>
          </w:p>
        </w:tc>
      </w:tr>
      <w:tr w:rsidR="00541219" w14:paraId="0599437C"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2D8E95DE" w14:textId="77777777" w:rsidR="00541219" w:rsidRDefault="00000000">
            <w:pPr>
              <w:spacing w:after="0"/>
              <w:ind w:left="994" w:firstLine="0"/>
            </w:pPr>
            <w:r>
              <w:rPr>
                <w:sz w:val="7"/>
              </w:rPr>
              <w:t xml:space="preserve">     II. a isonomia entre limites de continuidade na área de concessão, observada a modicidade tarifária;</w:t>
            </w:r>
          </w:p>
        </w:tc>
        <w:tc>
          <w:tcPr>
            <w:tcW w:w="0" w:type="auto"/>
            <w:gridSpan w:val="2"/>
            <w:vMerge/>
            <w:tcBorders>
              <w:top w:val="nil"/>
              <w:left w:val="single" w:sz="3" w:space="0" w:color="000000"/>
              <w:bottom w:val="nil"/>
              <w:right w:val="nil"/>
            </w:tcBorders>
          </w:tcPr>
          <w:p w14:paraId="5218343F" w14:textId="77777777" w:rsidR="00541219" w:rsidRDefault="00541219">
            <w:pPr>
              <w:spacing w:after="160"/>
              <w:ind w:left="0" w:firstLine="0"/>
            </w:pPr>
          </w:p>
        </w:tc>
      </w:tr>
      <w:tr w:rsidR="00541219" w14:paraId="6B8D3D66"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63BEA36B" w14:textId="77777777" w:rsidR="00541219" w:rsidRDefault="00000000">
            <w:pPr>
              <w:spacing w:after="0"/>
              <w:ind w:left="994" w:firstLine="0"/>
              <w:jc w:val="both"/>
            </w:pPr>
            <w:r>
              <w:rPr>
                <w:sz w:val="7"/>
              </w:rPr>
              <w:t xml:space="preserve">     III. metas de eficiência para recomposição do serviço após interrupções motivadas por eventos climáticos extremos.</w:t>
            </w:r>
          </w:p>
        </w:tc>
        <w:tc>
          <w:tcPr>
            <w:tcW w:w="0" w:type="auto"/>
            <w:gridSpan w:val="2"/>
            <w:vMerge/>
            <w:tcBorders>
              <w:top w:val="nil"/>
              <w:left w:val="single" w:sz="3" w:space="0" w:color="000000"/>
              <w:bottom w:val="nil"/>
              <w:right w:val="nil"/>
            </w:tcBorders>
          </w:tcPr>
          <w:p w14:paraId="239022A1" w14:textId="77777777" w:rsidR="00541219" w:rsidRDefault="00541219">
            <w:pPr>
              <w:spacing w:after="160"/>
              <w:ind w:left="0" w:firstLine="0"/>
            </w:pPr>
          </w:p>
        </w:tc>
      </w:tr>
      <w:tr w:rsidR="00541219" w14:paraId="59D5A331" w14:textId="77777777">
        <w:trPr>
          <w:trHeight w:val="458"/>
        </w:trPr>
        <w:tc>
          <w:tcPr>
            <w:tcW w:w="3727" w:type="dxa"/>
            <w:tcBorders>
              <w:top w:val="single" w:sz="3" w:space="0" w:color="000000"/>
              <w:left w:val="single" w:sz="3" w:space="0" w:color="000000"/>
              <w:bottom w:val="single" w:sz="3" w:space="0" w:color="000000"/>
              <w:right w:val="single" w:sz="3" w:space="0" w:color="000000"/>
            </w:tcBorders>
          </w:tcPr>
          <w:p w14:paraId="247953C3" w14:textId="77777777" w:rsidR="00541219" w:rsidRDefault="00000000">
            <w:pPr>
              <w:spacing w:after="0"/>
              <w:ind w:left="497" w:firstLine="0"/>
            </w:pPr>
            <w:r>
              <w:rPr>
                <w:sz w:val="7"/>
              </w:rPr>
              <w:t>Parágrafo Terceiro – A DISTRIBUIDORA obriga-se a apurar e divulgar os indicadores de continuidade coletivos e os indicadores de duração e frequência de interrupções efetivamente percebidas pelos usuários, em seu sítio eletrônico do período de pelo menos 10 anos, bem como disponibilizar meio para que os usuários obtenham seus indicadores e limites de continuidade individuais, conforme regulação da ANEEL.</w:t>
            </w:r>
          </w:p>
        </w:tc>
        <w:tc>
          <w:tcPr>
            <w:tcW w:w="0" w:type="auto"/>
            <w:gridSpan w:val="2"/>
            <w:vMerge/>
            <w:tcBorders>
              <w:top w:val="nil"/>
              <w:left w:val="single" w:sz="3" w:space="0" w:color="000000"/>
              <w:bottom w:val="nil"/>
              <w:right w:val="nil"/>
            </w:tcBorders>
          </w:tcPr>
          <w:p w14:paraId="5D8F3448" w14:textId="77777777" w:rsidR="00541219" w:rsidRDefault="00541219">
            <w:pPr>
              <w:spacing w:after="160"/>
              <w:ind w:left="0" w:firstLine="0"/>
            </w:pPr>
          </w:p>
        </w:tc>
      </w:tr>
      <w:tr w:rsidR="00541219" w14:paraId="21FAD530"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73E2845C" w14:textId="77777777" w:rsidR="00541219" w:rsidRDefault="00000000">
            <w:pPr>
              <w:spacing w:after="0"/>
              <w:ind w:left="497" w:firstLine="0"/>
            </w:pPr>
            <w:r>
              <w:rPr>
                <w:sz w:val="7"/>
              </w:rPr>
              <w:t>Parágrafo Quarto – Os indicadores de continuidade receberão tratamento específico para áreas de elevada complexidade ao combate às perdas de energia e de elevada inadimplência, conforme regulação da ANEEL.</w:t>
            </w:r>
          </w:p>
        </w:tc>
        <w:tc>
          <w:tcPr>
            <w:tcW w:w="0" w:type="auto"/>
            <w:gridSpan w:val="2"/>
            <w:vMerge/>
            <w:tcBorders>
              <w:top w:val="nil"/>
              <w:left w:val="single" w:sz="3" w:space="0" w:color="000000"/>
              <w:bottom w:val="nil"/>
              <w:right w:val="nil"/>
            </w:tcBorders>
          </w:tcPr>
          <w:p w14:paraId="53FCBD66" w14:textId="77777777" w:rsidR="00541219" w:rsidRDefault="00541219">
            <w:pPr>
              <w:spacing w:after="160"/>
              <w:ind w:left="0" w:firstLine="0"/>
            </w:pPr>
          </w:p>
        </w:tc>
      </w:tr>
    </w:tbl>
    <w:p w14:paraId="2ED151D4" w14:textId="77777777" w:rsidR="00541219" w:rsidRDefault="00541219">
      <w:pPr>
        <w:spacing w:after="0"/>
        <w:ind w:left="-1440" w:right="8527" w:firstLine="0"/>
      </w:pPr>
    </w:p>
    <w:tbl>
      <w:tblPr>
        <w:tblStyle w:val="TableGrid"/>
        <w:tblW w:w="10240" w:type="dxa"/>
        <w:tblInd w:w="-688" w:type="dxa"/>
        <w:tblCellMar>
          <w:top w:w="0" w:type="dxa"/>
          <w:left w:w="19" w:type="dxa"/>
          <w:bottom w:w="0" w:type="dxa"/>
          <w:right w:w="18" w:type="dxa"/>
        </w:tblCellMar>
        <w:tblLook w:val="04A0" w:firstRow="1" w:lastRow="0" w:firstColumn="1" w:lastColumn="0" w:noHBand="0" w:noVBand="1"/>
      </w:tblPr>
      <w:tblGrid>
        <w:gridCol w:w="3726"/>
        <w:gridCol w:w="3041"/>
        <w:gridCol w:w="3473"/>
      </w:tblGrid>
      <w:tr w:rsidR="00541219" w14:paraId="5213F837" w14:textId="77777777">
        <w:trPr>
          <w:trHeight w:val="145"/>
        </w:trPr>
        <w:tc>
          <w:tcPr>
            <w:tcW w:w="10240" w:type="dxa"/>
            <w:gridSpan w:val="3"/>
            <w:tcBorders>
              <w:top w:val="single" w:sz="6" w:space="0" w:color="000000"/>
              <w:left w:val="single" w:sz="6" w:space="0" w:color="000000"/>
              <w:bottom w:val="single" w:sz="3" w:space="0" w:color="000000"/>
              <w:right w:val="single" w:sz="6" w:space="0" w:color="000000"/>
            </w:tcBorders>
          </w:tcPr>
          <w:p w14:paraId="2F3CFF1E" w14:textId="77777777" w:rsidR="00541219" w:rsidRDefault="00000000">
            <w:pPr>
              <w:spacing w:after="0"/>
              <w:ind w:left="14" w:firstLine="0"/>
              <w:jc w:val="center"/>
            </w:pPr>
            <w:r>
              <w:rPr>
                <w:color w:val="0000FF"/>
                <w:sz w:val="12"/>
              </w:rPr>
              <w:t>CONTRIBUIÇÃO REFERENTE À CONSULTA PÚBLICA Nº 27/2024</w:t>
            </w:r>
          </w:p>
        </w:tc>
      </w:tr>
      <w:tr w:rsidR="00541219" w14:paraId="4C754C68" w14:textId="77777777">
        <w:trPr>
          <w:trHeight w:val="144"/>
        </w:trPr>
        <w:tc>
          <w:tcPr>
            <w:tcW w:w="10240" w:type="dxa"/>
            <w:gridSpan w:val="3"/>
            <w:tcBorders>
              <w:top w:val="single" w:sz="3" w:space="0" w:color="000000"/>
              <w:left w:val="single" w:sz="6" w:space="0" w:color="000000"/>
              <w:bottom w:val="single" w:sz="3" w:space="0" w:color="000000"/>
              <w:right w:val="single" w:sz="6" w:space="0" w:color="000000"/>
            </w:tcBorders>
          </w:tcPr>
          <w:p w14:paraId="63263969" w14:textId="741CA760" w:rsidR="00541219" w:rsidRDefault="00000000">
            <w:pPr>
              <w:spacing w:after="0"/>
              <w:ind w:left="0" w:firstLine="0"/>
              <w:jc w:val="center"/>
            </w:pPr>
            <w:r>
              <w:rPr>
                <w:color w:val="0000FF"/>
                <w:sz w:val="12"/>
              </w:rPr>
              <w:t xml:space="preserve">NOME DA INSTITUIÇÃO: </w:t>
            </w:r>
            <w:r w:rsidR="006F6AA4">
              <w:rPr>
                <w:color w:val="0000FF"/>
                <w:sz w:val="12"/>
              </w:rPr>
              <w:t>Conselho de Consumidores da Área de Concessão da Energisa no Mato Grosso do Sul – CONCEN-MS</w:t>
            </w:r>
          </w:p>
        </w:tc>
      </w:tr>
      <w:tr w:rsidR="00541219" w14:paraId="038654A9" w14:textId="77777777">
        <w:trPr>
          <w:trHeight w:val="144"/>
        </w:trPr>
        <w:tc>
          <w:tcPr>
            <w:tcW w:w="10240" w:type="dxa"/>
            <w:gridSpan w:val="3"/>
            <w:tcBorders>
              <w:top w:val="single" w:sz="3" w:space="0" w:color="000000"/>
              <w:left w:val="single" w:sz="6" w:space="0" w:color="000000"/>
              <w:bottom w:val="single" w:sz="3" w:space="0" w:color="000000"/>
              <w:right w:val="single" w:sz="6" w:space="0" w:color="000000"/>
            </w:tcBorders>
          </w:tcPr>
          <w:p w14:paraId="4B0114C3" w14:textId="77777777" w:rsidR="00541219" w:rsidRDefault="00000000">
            <w:pPr>
              <w:tabs>
                <w:tab w:val="center" w:pos="728"/>
                <w:tab w:val="center" w:pos="5110"/>
              </w:tabs>
              <w:spacing w:after="0"/>
              <w:ind w:left="0" w:firstLine="0"/>
            </w:pPr>
            <w:r>
              <w:rPr>
                <w:rFonts w:ascii="Calibri" w:eastAsia="Calibri" w:hAnsi="Calibri" w:cs="Calibri"/>
                <w:sz w:val="22"/>
              </w:rPr>
              <w:tab/>
            </w:r>
            <w:r>
              <w:rPr>
                <w:noProof/>
              </w:rPr>
              <w:drawing>
                <wp:inline distT="0" distB="0" distL="0" distR="0" wp14:anchorId="3166F4AA" wp14:editId="55C4EAA2">
                  <wp:extent cx="559308" cy="344424"/>
                  <wp:effectExtent l="0" t="0" r="0" b="0"/>
                  <wp:docPr id="5540" name="Picture 5540"/>
                  <wp:cNvGraphicFramePr/>
                  <a:graphic xmlns:a="http://schemas.openxmlformats.org/drawingml/2006/main">
                    <a:graphicData uri="http://schemas.openxmlformats.org/drawingml/2006/picture">
                      <pic:pic xmlns:pic="http://schemas.openxmlformats.org/drawingml/2006/picture">
                        <pic:nvPicPr>
                          <pic:cNvPr id="5540" name="Picture 5540"/>
                          <pic:cNvPicPr/>
                        </pic:nvPicPr>
                        <pic:blipFill>
                          <a:blip r:embed="rId5"/>
                          <a:stretch>
                            <a:fillRect/>
                          </a:stretch>
                        </pic:blipFill>
                        <pic:spPr>
                          <a:xfrm>
                            <a:off x="0" y="0"/>
                            <a:ext cx="559308" cy="344424"/>
                          </a:xfrm>
                          <a:prstGeom prst="rect">
                            <a:avLst/>
                          </a:prstGeom>
                        </pic:spPr>
                      </pic:pic>
                    </a:graphicData>
                  </a:graphic>
                </wp:inline>
              </w:drawing>
            </w:r>
            <w:r>
              <w:rPr>
                <w:color w:val="0000FF"/>
                <w:sz w:val="12"/>
              </w:rPr>
              <w:tab/>
              <w:t>AGÊNCIA NACIONAL DE ENERGIA ELÉTRICA – ANEEL</w:t>
            </w:r>
          </w:p>
        </w:tc>
      </w:tr>
      <w:tr w:rsidR="00541219" w14:paraId="38B1E672" w14:textId="77777777">
        <w:trPr>
          <w:trHeight w:val="173"/>
        </w:trPr>
        <w:tc>
          <w:tcPr>
            <w:tcW w:w="10240" w:type="dxa"/>
            <w:gridSpan w:val="3"/>
            <w:tcBorders>
              <w:top w:val="single" w:sz="3" w:space="0" w:color="000000"/>
              <w:left w:val="single" w:sz="6" w:space="0" w:color="000000"/>
              <w:bottom w:val="single" w:sz="3" w:space="0" w:color="000000"/>
              <w:right w:val="single" w:sz="6" w:space="0" w:color="000000"/>
            </w:tcBorders>
          </w:tcPr>
          <w:p w14:paraId="536A8660" w14:textId="77777777" w:rsidR="00541219" w:rsidRDefault="00000000">
            <w:pPr>
              <w:spacing w:after="0"/>
              <w:ind w:left="12" w:firstLine="0"/>
              <w:jc w:val="center"/>
            </w:pPr>
            <w:r>
              <w:rPr>
                <w:color w:val="0000FF"/>
              </w:rPr>
              <w:t>ATO REGULATÓRIO: TERMO ADITIVO AO CONTRATO DE CONCESSÃO DE SERVIÇO PÚBLICO DE DISTRIBUIÇÃO DE ENERGIA ELÉTRICA No XX/XX-ANEEL</w:t>
            </w:r>
          </w:p>
        </w:tc>
      </w:tr>
      <w:tr w:rsidR="00541219" w14:paraId="57AA5DCA" w14:textId="77777777">
        <w:trPr>
          <w:trHeight w:val="187"/>
        </w:trPr>
        <w:tc>
          <w:tcPr>
            <w:tcW w:w="10240" w:type="dxa"/>
            <w:gridSpan w:val="3"/>
            <w:tcBorders>
              <w:top w:val="single" w:sz="3" w:space="0" w:color="000000"/>
              <w:left w:val="single" w:sz="6" w:space="0" w:color="000000"/>
              <w:bottom w:val="single" w:sz="3" w:space="0" w:color="000000"/>
              <w:right w:val="single" w:sz="6" w:space="0" w:color="000000"/>
            </w:tcBorders>
          </w:tcPr>
          <w:p w14:paraId="1BE26787" w14:textId="77777777" w:rsidR="00541219" w:rsidRDefault="00000000">
            <w:pPr>
              <w:spacing w:after="0"/>
              <w:ind w:left="2" w:firstLine="0"/>
              <w:jc w:val="center"/>
            </w:pPr>
            <w:r>
              <w:rPr>
                <w:color w:val="0000FF"/>
              </w:rPr>
              <w:t xml:space="preserve">                                                               EMENTA: Obter subsídios para o aprimoramento da minuta de termo aditivo ao contrato de concessão de distribuição de energia elétrica com vistas à prorrogação das concessões.</w:t>
            </w:r>
          </w:p>
        </w:tc>
      </w:tr>
      <w:tr w:rsidR="00541219" w14:paraId="5F949B11" w14:textId="77777777">
        <w:trPr>
          <w:trHeight w:val="130"/>
        </w:trPr>
        <w:tc>
          <w:tcPr>
            <w:tcW w:w="10240" w:type="dxa"/>
            <w:gridSpan w:val="3"/>
            <w:tcBorders>
              <w:top w:val="single" w:sz="3" w:space="0" w:color="000000"/>
              <w:left w:val="single" w:sz="6" w:space="0" w:color="000000"/>
              <w:bottom w:val="single" w:sz="3" w:space="0" w:color="000000"/>
              <w:right w:val="single" w:sz="6" w:space="0" w:color="000000"/>
            </w:tcBorders>
          </w:tcPr>
          <w:p w14:paraId="3DDCED9E" w14:textId="77777777" w:rsidR="00541219" w:rsidRDefault="00000000">
            <w:pPr>
              <w:spacing w:after="0"/>
              <w:ind w:left="0" w:right="2" w:firstLine="0"/>
              <w:jc w:val="center"/>
            </w:pPr>
            <w:r>
              <w:rPr>
                <w:color w:val="0000FF"/>
                <w:sz w:val="10"/>
              </w:rPr>
              <w:t>CONTRIBUIÇÕES RECEBIDAS</w:t>
            </w:r>
          </w:p>
        </w:tc>
      </w:tr>
      <w:tr w:rsidR="00541219" w14:paraId="215BDB51" w14:textId="77777777">
        <w:trPr>
          <w:trHeight w:val="268"/>
        </w:trPr>
        <w:tc>
          <w:tcPr>
            <w:tcW w:w="10240" w:type="dxa"/>
            <w:gridSpan w:val="3"/>
            <w:tcBorders>
              <w:top w:val="single" w:sz="3" w:space="0" w:color="000000"/>
              <w:left w:val="single" w:sz="6" w:space="0" w:color="000000"/>
              <w:bottom w:val="single" w:sz="6" w:space="0" w:color="000000"/>
              <w:right w:val="single" w:sz="6" w:space="0" w:color="000000"/>
            </w:tcBorders>
          </w:tcPr>
          <w:p w14:paraId="630DBEC1" w14:textId="77777777" w:rsidR="00541219" w:rsidRDefault="00000000">
            <w:pPr>
              <w:spacing w:after="0"/>
              <w:ind w:left="0" w:firstLine="0"/>
            </w:pPr>
            <w:r>
              <w:t>IMPORTANTE: Os comentários e sugestões referentes às contribuições deverão ser fundamentados e justificados, mencionando-se os artigos, parágrafos e incisos a que se referem, devendo ser acompanhados de textos alternativos e substitutivos quando envolverem sugestões de inclusão ou alteração, parcial ou total, de qualquer dispositivo.</w:t>
            </w:r>
          </w:p>
        </w:tc>
      </w:tr>
      <w:tr w:rsidR="00541219" w14:paraId="72A1738B" w14:textId="77777777">
        <w:trPr>
          <w:trHeight w:val="209"/>
        </w:trPr>
        <w:tc>
          <w:tcPr>
            <w:tcW w:w="3727" w:type="dxa"/>
            <w:tcBorders>
              <w:top w:val="single" w:sz="6" w:space="0" w:color="000000"/>
              <w:left w:val="single" w:sz="6" w:space="0" w:color="000000"/>
              <w:bottom w:val="double" w:sz="4" w:space="0" w:color="000000"/>
              <w:right w:val="single" w:sz="6" w:space="0" w:color="000000"/>
            </w:tcBorders>
            <w:shd w:val="clear" w:color="auto" w:fill="FF0000"/>
          </w:tcPr>
          <w:p w14:paraId="5BF966CD" w14:textId="77777777" w:rsidR="00541219" w:rsidRDefault="00000000">
            <w:pPr>
              <w:spacing w:after="0"/>
              <w:ind w:left="0" w:right="1" w:firstLine="0"/>
              <w:jc w:val="center"/>
            </w:pPr>
            <w:r>
              <w:rPr>
                <w:color w:val="FFFFFF"/>
                <w:sz w:val="10"/>
              </w:rPr>
              <w:t xml:space="preserve">TEXTO/ANEEL </w:t>
            </w:r>
          </w:p>
        </w:tc>
        <w:tc>
          <w:tcPr>
            <w:tcW w:w="3041" w:type="dxa"/>
            <w:tcBorders>
              <w:top w:val="single" w:sz="6" w:space="0" w:color="000000"/>
              <w:left w:val="single" w:sz="6" w:space="0" w:color="000000"/>
              <w:bottom w:val="double" w:sz="4" w:space="0" w:color="000000"/>
              <w:right w:val="single" w:sz="6" w:space="0" w:color="000000"/>
            </w:tcBorders>
            <w:shd w:val="clear" w:color="auto" w:fill="FF0000"/>
          </w:tcPr>
          <w:p w14:paraId="09E99F0B" w14:textId="77777777" w:rsidR="00541219" w:rsidRDefault="00000000">
            <w:pPr>
              <w:spacing w:after="0"/>
              <w:ind w:left="6" w:firstLine="0"/>
              <w:jc w:val="center"/>
            </w:pPr>
            <w:r>
              <w:rPr>
                <w:color w:val="FFFFFF"/>
                <w:sz w:val="10"/>
              </w:rPr>
              <w:t>TEXTO/INSTITUIÇÃO</w:t>
            </w:r>
          </w:p>
        </w:tc>
        <w:tc>
          <w:tcPr>
            <w:tcW w:w="3473" w:type="dxa"/>
            <w:tcBorders>
              <w:top w:val="single" w:sz="6" w:space="0" w:color="000000"/>
              <w:left w:val="single" w:sz="6" w:space="0" w:color="000000"/>
              <w:bottom w:val="double" w:sz="4" w:space="0" w:color="000000"/>
              <w:right w:val="single" w:sz="6" w:space="0" w:color="000000"/>
            </w:tcBorders>
            <w:shd w:val="clear" w:color="auto" w:fill="FF0000"/>
          </w:tcPr>
          <w:p w14:paraId="628710EE" w14:textId="77777777" w:rsidR="00541219" w:rsidRDefault="00000000">
            <w:pPr>
              <w:spacing w:after="0"/>
              <w:ind w:left="2" w:firstLine="0"/>
              <w:jc w:val="center"/>
            </w:pPr>
            <w:r>
              <w:rPr>
                <w:color w:val="FFFFFF"/>
                <w:sz w:val="10"/>
              </w:rPr>
              <w:t>JUSTIFICATIVA/INSTITUIÇÃO</w:t>
            </w:r>
          </w:p>
        </w:tc>
      </w:tr>
      <w:tr w:rsidR="00541219" w14:paraId="415A5779" w14:textId="77777777">
        <w:trPr>
          <w:trHeight w:val="549"/>
        </w:trPr>
        <w:tc>
          <w:tcPr>
            <w:tcW w:w="3727" w:type="dxa"/>
            <w:tcBorders>
              <w:top w:val="double" w:sz="4" w:space="0" w:color="000000"/>
              <w:left w:val="single" w:sz="3" w:space="0" w:color="000000"/>
              <w:bottom w:val="single" w:sz="3" w:space="0" w:color="000000"/>
              <w:right w:val="single" w:sz="3" w:space="0" w:color="000000"/>
            </w:tcBorders>
            <w:vAlign w:val="center"/>
          </w:tcPr>
          <w:p w14:paraId="36DA89B7" w14:textId="77777777" w:rsidR="00541219" w:rsidRDefault="00000000">
            <w:pPr>
              <w:spacing w:after="0"/>
              <w:ind w:left="0" w:firstLine="0"/>
            </w:pPr>
            <w:r>
              <w:rPr>
                <w:sz w:val="7"/>
              </w:rPr>
              <w:t>Subcláusula Sétima – O descumprimento de indicadores de desempenho estabelecidos pela ANEEL poderá obrigar a DISTRIBUIDORA a compensar os usuários pela má qualidade da prestação do serviço de distribuição, conforme regulação da ANEEL, sem prejuízo da aplicação das penalidades previstas.</w:t>
            </w:r>
          </w:p>
        </w:tc>
        <w:tc>
          <w:tcPr>
            <w:tcW w:w="3041" w:type="dxa"/>
            <w:tcBorders>
              <w:top w:val="double" w:sz="4" w:space="0" w:color="000000"/>
              <w:left w:val="single" w:sz="3" w:space="0" w:color="000000"/>
              <w:bottom w:val="single" w:sz="3" w:space="0" w:color="000000"/>
              <w:right w:val="single" w:sz="3" w:space="0" w:color="000000"/>
            </w:tcBorders>
          </w:tcPr>
          <w:p w14:paraId="78E212CF" w14:textId="77777777" w:rsidR="00541219" w:rsidRDefault="00000000">
            <w:pPr>
              <w:spacing w:after="0"/>
              <w:ind w:left="5" w:firstLine="0"/>
            </w:pPr>
            <w:r>
              <w:rPr>
                <w:rFonts w:ascii="Calibri" w:eastAsia="Calibri" w:hAnsi="Calibri" w:cs="Calibri"/>
                <w:noProof/>
                <w:sz w:val="22"/>
              </w:rPr>
              <mc:AlternateContent>
                <mc:Choice Requires="wpg">
                  <w:drawing>
                    <wp:anchor distT="0" distB="0" distL="114300" distR="114300" simplePos="0" relativeHeight="251662336" behindDoc="1" locked="0" layoutInCell="1" allowOverlap="1" wp14:anchorId="7E6A30A0" wp14:editId="4AD859EB">
                      <wp:simplePos x="0" y="0"/>
                      <wp:positionH relativeFrom="column">
                        <wp:posOffset>217932</wp:posOffset>
                      </wp:positionH>
                      <wp:positionV relativeFrom="paragraph">
                        <wp:posOffset>95917</wp:posOffset>
                      </wp:positionV>
                      <wp:extent cx="364236" cy="3048"/>
                      <wp:effectExtent l="0" t="0" r="0" b="0"/>
                      <wp:wrapNone/>
                      <wp:docPr id="118779" name="Group 118779"/>
                      <wp:cNvGraphicFramePr/>
                      <a:graphic xmlns:a="http://schemas.openxmlformats.org/drawingml/2006/main">
                        <a:graphicData uri="http://schemas.microsoft.com/office/word/2010/wordprocessingGroup">
                          <wpg:wgp>
                            <wpg:cNvGrpSpPr/>
                            <wpg:grpSpPr>
                              <a:xfrm>
                                <a:off x="0" y="0"/>
                                <a:ext cx="364236" cy="3048"/>
                                <a:chOff x="0" y="0"/>
                                <a:chExt cx="364236" cy="3048"/>
                              </a:xfrm>
                            </wpg:grpSpPr>
                            <wps:wsp>
                              <wps:cNvPr id="135638" name="Shape 135638"/>
                              <wps:cNvSpPr/>
                              <wps:spPr>
                                <a:xfrm>
                                  <a:off x="0" y="0"/>
                                  <a:ext cx="364236" cy="9144"/>
                                </a:xfrm>
                                <a:custGeom>
                                  <a:avLst/>
                                  <a:gdLst/>
                                  <a:ahLst/>
                                  <a:cxnLst/>
                                  <a:rect l="0" t="0" r="0" b="0"/>
                                  <a:pathLst>
                                    <a:path w="364236" h="9144">
                                      <a:moveTo>
                                        <a:pt x="0" y="0"/>
                                      </a:moveTo>
                                      <a:lnTo>
                                        <a:pt x="364236" y="0"/>
                                      </a:lnTo>
                                      <a:lnTo>
                                        <a:pt x="3642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18779" style="width:28.68pt;height:0.240005pt;position:absolute;z-index:-2147483612;mso-position-horizontal-relative:text;mso-position-horizontal:absolute;margin-left:17.16pt;mso-position-vertical-relative:text;margin-top:7.55249pt;" coordsize="3642,30">
                      <v:shape id="Shape 135639" style="position:absolute;width:3642;height:91;left:0;top:0;" coordsize="364236,9144" path="m0,0l364236,0l364236,9144l0,9144l0,0">
                        <v:stroke weight="0pt" endcap="flat" joinstyle="miter" miterlimit="10" on="false" color="#000000" opacity="0"/>
                        <v:fill on="true" color="#000000"/>
                      </v:shape>
                    </v:group>
                  </w:pict>
                </mc:Fallback>
              </mc:AlternateContent>
            </w:r>
            <w:r>
              <w:t xml:space="preserve">O descumprimento de indicadores de desempenho estabelecidos pela ANEEL poderá </w:t>
            </w:r>
            <w:proofErr w:type="gramStart"/>
            <w:r>
              <w:t xml:space="preserve">obrigar  </w:t>
            </w:r>
            <w:r>
              <w:rPr>
                <w:color w:val="FF0000"/>
              </w:rPr>
              <w:t>obrigará</w:t>
            </w:r>
            <w:proofErr w:type="gramEnd"/>
            <w:r>
              <w:t xml:space="preserve"> a DISTRIBUIDORA a compensar os usuários pela má qualidade da prestação do serviço de distribuição, conforme regulação da ANEEL, sem prejuízo da aplicação das penalidades previstas.</w:t>
            </w:r>
          </w:p>
        </w:tc>
        <w:tc>
          <w:tcPr>
            <w:tcW w:w="3473" w:type="dxa"/>
            <w:tcBorders>
              <w:top w:val="double" w:sz="4" w:space="0" w:color="000000"/>
              <w:left w:val="single" w:sz="3" w:space="0" w:color="000000"/>
              <w:bottom w:val="single" w:sz="3" w:space="0" w:color="000000"/>
              <w:right w:val="single" w:sz="3" w:space="0" w:color="000000"/>
            </w:tcBorders>
            <w:vAlign w:val="center"/>
          </w:tcPr>
          <w:p w14:paraId="13F88D88" w14:textId="77777777" w:rsidR="00541219" w:rsidRDefault="00000000">
            <w:pPr>
              <w:spacing w:after="0"/>
              <w:ind w:left="5" w:right="34" w:firstLine="0"/>
              <w:jc w:val="both"/>
            </w:pPr>
            <w:r>
              <w:t>O regulamento da Aneel é que definirá os indicadores e em que casos o usuário poderá ser compensado. Porém, já deve ficar claro que o descumprimento implicará em compensação.</w:t>
            </w:r>
          </w:p>
        </w:tc>
      </w:tr>
      <w:tr w:rsidR="00541219" w14:paraId="19376AF9" w14:textId="77777777">
        <w:trPr>
          <w:trHeight w:val="211"/>
        </w:trPr>
        <w:tc>
          <w:tcPr>
            <w:tcW w:w="3727" w:type="dxa"/>
            <w:tcBorders>
              <w:top w:val="single" w:sz="3" w:space="0" w:color="000000"/>
              <w:left w:val="single" w:sz="3" w:space="0" w:color="000000"/>
              <w:bottom w:val="single" w:sz="3" w:space="0" w:color="000000"/>
              <w:right w:val="single" w:sz="3" w:space="0" w:color="000000"/>
            </w:tcBorders>
          </w:tcPr>
          <w:p w14:paraId="41DA9838" w14:textId="77777777" w:rsidR="00541219" w:rsidRDefault="00000000">
            <w:pPr>
              <w:spacing w:after="0"/>
              <w:ind w:left="497" w:firstLine="0"/>
            </w:pPr>
            <w:r>
              <w:rPr>
                <w:sz w:val="7"/>
              </w:rPr>
              <w:t>Parágrafo Único – A DISTRIBUIDORA obriga-se a disponibilizar os valores de compensações aos usuários pela violação de indicadores de desempenho, conforme regulação da ANEEL.</w:t>
            </w:r>
          </w:p>
        </w:tc>
        <w:tc>
          <w:tcPr>
            <w:tcW w:w="6514" w:type="dxa"/>
            <w:gridSpan w:val="2"/>
            <w:tcBorders>
              <w:top w:val="single" w:sz="3" w:space="0" w:color="000000"/>
              <w:left w:val="single" w:sz="3" w:space="0" w:color="000000"/>
              <w:bottom w:val="double" w:sz="2" w:space="0" w:color="000000"/>
              <w:right w:val="nil"/>
            </w:tcBorders>
          </w:tcPr>
          <w:p w14:paraId="7A0E7F52" w14:textId="77777777" w:rsidR="00541219" w:rsidRDefault="00541219">
            <w:pPr>
              <w:spacing w:after="160"/>
              <w:ind w:left="0" w:firstLine="0"/>
            </w:pPr>
          </w:p>
        </w:tc>
      </w:tr>
      <w:tr w:rsidR="00541219" w14:paraId="3F3D84D8" w14:textId="77777777">
        <w:trPr>
          <w:trHeight w:val="938"/>
        </w:trPr>
        <w:tc>
          <w:tcPr>
            <w:tcW w:w="3727" w:type="dxa"/>
            <w:tcBorders>
              <w:top w:val="single" w:sz="3" w:space="0" w:color="000000"/>
              <w:left w:val="single" w:sz="3" w:space="0" w:color="000000"/>
              <w:bottom w:val="single" w:sz="3" w:space="0" w:color="000000"/>
              <w:right w:val="single" w:sz="3" w:space="0" w:color="000000"/>
            </w:tcBorders>
            <w:vAlign w:val="center"/>
          </w:tcPr>
          <w:p w14:paraId="7E0F816F" w14:textId="77777777" w:rsidR="00541219" w:rsidRDefault="00000000">
            <w:pPr>
              <w:spacing w:after="0"/>
              <w:ind w:left="0" w:right="9" w:firstLine="0"/>
            </w:pPr>
            <w:r>
              <w:rPr>
                <w:sz w:val="7"/>
              </w:rPr>
              <w:t>Subcláusula Oitava – O descumprimento de limites de indicadores de desempenho poderá, conforme regulação da ANEEL, implicar na limitação de pagamento de dividendos e de juros sobre o capital próprio cujo valor, isoladamente ou em conjunto, supere 25% do lucro líquido diminuído ou acrescido pelos montantes destinados à reserva legal (art. 193 da Lei no 6.404, de 1976) e à reserva para contingências (art. 195 da Lei no 6.404, de 1976) e reversão da mesma reserva formada em exercícios anteriores, bem como a limitação de novos atos e negócios jurídicos entre a concessionária e suas partes relacionadas.</w:t>
            </w:r>
          </w:p>
        </w:tc>
        <w:tc>
          <w:tcPr>
            <w:tcW w:w="3041" w:type="dxa"/>
            <w:tcBorders>
              <w:top w:val="double" w:sz="2" w:space="0" w:color="000000"/>
              <w:left w:val="single" w:sz="3" w:space="0" w:color="000000"/>
              <w:bottom w:val="single" w:sz="3" w:space="0" w:color="000000"/>
              <w:right w:val="single" w:sz="3" w:space="0" w:color="000000"/>
            </w:tcBorders>
          </w:tcPr>
          <w:p w14:paraId="33E57B42" w14:textId="77777777" w:rsidR="00541219" w:rsidRDefault="00000000">
            <w:pPr>
              <w:spacing w:after="0"/>
              <w:ind w:left="5" w:firstLine="0"/>
            </w:pPr>
            <w:r>
              <w:rPr>
                <w:rFonts w:ascii="Calibri" w:eastAsia="Calibri" w:hAnsi="Calibri" w:cs="Calibri"/>
                <w:noProof/>
                <w:sz w:val="22"/>
              </w:rPr>
              <mc:AlternateContent>
                <mc:Choice Requires="wpg">
                  <w:drawing>
                    <wp:anchor distT="0" distB="0" distL="114300" distR="114300" simplePos="0" relativeHeight="251663360" behindDoc="1" locked="0" layoutInCell="1" allowOverlap="1" wp14:anchorId="68FE6682" wp14:editId="02AF76C7">
                      <wp:simplePos x="0" y="0"/>
                      <wp:positionH relativeFrom="column">
                        <wp:posOffset>833628</wp:posOffset>
                      </wp:positionH>
                      <wp:positionV relativeFrom="paragraph">
                        <wp:posOffset>95917</wp:posOffset>
                      </wp:positionV>
                      <wp:extent cx="178308" cy="3048"/>
                      <wp:effectExtent l="0" t="0" r="0" b="0"/>
                      <wp:wrapNone/>
                      <wp:docPr id="118840" name="Group 118840"/>
                      <wp:cNvGraphicFramePr/>
                      <a:graphic xmlns:a="http://schemas.openxmlformats.org/drawingml/2006/main">
                        <a:graphicData uri="http://schemas.microsoft.com/office/word/2010/wordprocessingGroup">
                          <wpg:wgp>
                            <wpg:cNvGrpSpPr/>
                            <wpg:grpSpPr>
                              <a:xfrm>
                                <a:off x="0" y="0"/>
                                <a:ext cx="178308" cy="3048"/>
                                <a:chOff x="0" y="0"/>
                                <a:chExt cx="178308" cy="3048"/>
                              </a:xfrm>
                            </wpg:grpSpPr>
                            <wps:wsp>
                              <wps:cNvPr id="135640" name="Shape 135640"/>
                              <wps:cNvSpPr/>
                              <wps:spPr>
                                <a:xfrm>
                                  <a:off x="0" y="0"/>
                                  <a:ext cx="178308" cy="9144"/>
                                </a:xfrm>
                                <a:custGeom>
                                  <a:avLst/>
                                  <a:gdLst/>
                                  <a:ahLst/>
                                  <a:cxnLst/>
                                  <a:rect l="0" t="0" r="0" b="0"/>
                                  <a:pathLst>
                                    <a:path w="178308" h="9144">
                                      <a:moveTo>
                                        <a:pt x="0" y="0"/>
                                      </a:moveTo>
                                      <a:lnTo>
                                        <a:pt x="178308" y="0"/>
                                      </a:lnTo>
                                      <a:lnTo>
                                        <a:pt x="1783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18840" style="width:14.04pt;height:0.23999pt;position:absolute;z-index:-2147483588;mso-position-horizontal-relative:text;mso-position-horizontal:absolute;margin-left:65.64pt;mso-position-vertical-relative:text;margin-top:7.55251pt;" coordsize="1783,30">
                      <v:shape id="Shape 135641" style="position:absolute;width:1783;height:91;left:0;top:0;" coordsize="178308,9144" path="m0,0l178308,0l178308,9144l0,9144l0,0">
                        <v:stroke weight="0pt" endcap="flat" joinstyle="miter" miterlimit="10" on="false" color="#000000" opacity="0"/>
                        <v:fill on="true" color="#000000"/>
                      </v:shape>
                    </v:group>
                  </w:pict>
                </mc:Fallback>
              </mc:AlternateContent>
            </w:r>
            <w:r>
              <w:t xml:space="preserve">O descumprimento de limites de indicadores de desempenho poderá conforme regulação da ANEEL, implicar  </w:t>
            </w:r>
            <w:r>
              <w:rPr>
                <w:color w:val="FF0000"/>
              </w:rPr>
              <w:t xml:space="preserve">implicará </w:t>
            </w:r>
            <w:r>
              <w:t>na limitação de pagamento de dividendos e de juros sobre o capital próprio cujo valor, isoladamente ou em conjunto, supere 25% do lucro líquido diminuído ou acrescido pelos montantes destinados à reserva legal (art. 193 da Lei nº 6.404, de 1976) e à reserva para contingências (art. 195 da Lei nº 6.404, de 1976) e reversão da mesma reserva formada em exercícios anteriores, bem como a limitação de novos atos e negócios jurídicos entre a concessionária e suas partes relacionadas.</w:t>
            </w:r>
          </w:p>
        </w:tc>
        <w:tc>
          <w:tcPr>
            <w:tcW w:w="3473" w:type="dxa"/>
            <w:tcBorders>
              <w:top w:val="single" w:sz="3" w:space="0" w:color="000000"/>
              <w:left w:val="single" w:sz="3" w:space="0" w:color="000000"/>
              <w:bottom w:val="single" w:sz="3" w:space="0" w:color="000000"/>
              <w:right w:val="single" w:sz="3" w:space="0" w:color="000000"/>
            </w:tcBorders>
            <w:vAlign w:val="center"/>
          </w:tcPr>
          <w:p w14:paraId="05B6573D" w14:textId="77777777" w:rsidR="00541219" w:rsidRDefault="00000000">
            <w:pPr>
              <w:spacing w:after="0"/>
              <w:ind w:left="5" w:firstLine="0"/>
            </w:pPr>
            <w:r>
              <w:t xml:space="preserve">Deve ficar claro para o investidor que essa regra será aplicada.  </w:t>
            </w:r>
          </w:p>
        </w:tc>
      </w:tr>
      <w:tr w:rsidR="00541219" w14:paraId="332AE970"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361E2976" w14:textId="77777777" w:rsidR="00541219" w:rsidRDefault="00000000">
            <w:pPr>
              <w:spacing w:after="0"/>
              <w:ind w:left="497" w:firstLine="0"/>
            </w:pPr>
            <w:r>
              <w:rPr>
                <w:sz w:val="7"/>
              </w:rPr>
              <w:t>Parágrafo único – Nos últimos 5 anos do CONTRATO, visando assegurar a adequada prestação do serviço pela DISTRIBUIDORA, a ANEEL poderá estabelecer critérios mais rígidos para aplicação do disposto nesta Subcláusula.</w:t>
            </w:r>
          </w:p>
        </w:tc>
        <w:tc>
          <w:tcPr>
            <w:tcW w:w="3041" w:type="dxa"/>
            <w:tcBorders>
              <w:top w:val="single" w:sz="3" w:space="0" w:color="000000"/>
              <w:left w:val="single" w:sz="3" w:space="0" w:color="000000"/>
              <w:bottom w:val="single" w:sz="3" w:space="0" w:color="000000"/>
              <w:right w:val="single" w:sz="3" w:space="0" w:color="000000"/>
            </w:tcBorders>
          </w:tcPr>
          <w:p w14:paraId="3E296949" w14:textId="77777777" w:rsidR="00541219" w:rsidRDefault="00000000">
            <w:pPr>
              <w:spacing w:after="0"/>
              <w:ind w:left="5" w:firstLine="0"/>
            </w:pPr>
            <w:r>
              <w:t xml:space="preserve"> </w:t>
            </w:r>
          </w:p>
        </w:tc>
        <w:tc>
          <w:tcPr>
            <w:tcW w:w="3473" w:type="dxa"/>
            <w:tcBorders>
              <w:top w:val="single" w:sz="3" w:space="0" w:color="000000"/>
              <w:left w:val="single" w:sz="3" w:space="0" w:color="000000"/>
              <w:bottom w:val="single" w:sz="3" w:space="0" w:color="000000"/>
              <w:right w:val="single" w:sz="3" w:space="0" w:color="000000"/>
            </w:tcBorders>
          </w:tcPr>
          <w:p w14:paraId="55B8F20E" w14:textId="77777777" w:rsidR="00541219" w:rsidRDefault="00000000">
            <w:pPr>
              <w:spacing w:after="0"/>
              <w:ind w:left="3" w:firstLine="0"/>
            </w:pPr>
            <w:r>
              <w:rPr>
                <w:sz w:val="8"/>
              </w:rPr>
              <w:t xml:space="preserve"> </w:t>
            </w:r>
          </w:p>
        </w:tc>
      </w:tr>
      <w:tr w:rsidR="00541219" w14:paraId="444285CF"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104A4C2D" w14:textId="77777777" w:rsidR="00541219" w:rsidRDefault="00000000">
            <w:pPr>
              <w:spacing w:after="0"/>
              <w:ind w:left="0" w:right="19" w:firstLine="0"/>
            </w:pPr>
            <w:r>
              <w:rPr>
                <w:sz w:val="7"/>
              </w:rPr>
              <w:t>Subcláusula Nona – A DISTRIBUIDORA se compromete a elaborar e manter o plano de manutenção das instalações de distribuição atualizado, estabelecendo as periodicidades e atividades de manutenção que atendam às especificações técnicas dos equipamentos e à adequada prestação serviço.</w:t>
            </w:r>
          </w:p>
        </w:tc>
        <w:tc>
          <w:tcPr>
            <w:tcW w:w="6514" w:type="dxa"/>
            <w:gridSpan w:val="2"/>
            <w:vMerge w:val="restart"/>
            <w:tcBorders>
              <w:top w:val="single" w:sz="3" w:space="0" w:color="000000"/>
              <w:left w:val="single" w:sz="3" w:space="0" w:color="000000"/>
              <w:bottom w:val="single" w:sz="3" w:space="0" w:color="000000"/>
              <w:right w:val="nil"/>
            </w:tcBorders>
          </w:tcPr>
          <w:p w14:paraId="0D590FB3" w14:textId="77777777" w:rsidR="00541219" w:rsidRDefault="00000000">
            <w:pPr>
              <w:spacing w:after="71"/>
              <w:ind w:left="5" w:firstLine="0"/>
            </w:pPr>
            <w:r>
              <w:rPr>
                <w:color w:val="FF0000"/>
              </w:rPr>
              <w:t xml:space="preserve"> </w:t>
            </w:r>
          </w:p>
          <w:p w14:paraId="2CBC0618" w14:textId="77777777" w:rsidR="00541219" w:rsidRDefault="00000000">
            <w:pPr>
              <w:spacing w:after="0"/>
              <w:ind w:left="0" w:right="369" w:firstLine="0"/>
              <w:jc w:val="center"/>
            </w:pPr>
            <w:r>
              <w:rPr>
                <w:sz w:val="7"/>
              </w:rPr>
              <w:t xml:space="preserve">, </w:t>
            </w:r>
          </w:p>
        </w:tc>
      </w:tr>
      <w:tr w:rsidR="00541219" w14:paraId="295B3E02"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47142DCA" w14:textId="77777777" w:rsidR="00541219" w:rsidRDefault="00000000">
            <w:pPr>
              <w:spacing w:after="0"/>
              <w:ind w:left="0" w:right="80" w:firstLine="0"/>
              <w:jc w:val="both"/>
            </w:pPr>
            <w:r>
              <w:rPr>
                <w:sz w:val="7"/>
              </w:rPr>
              <w:t>Subcláusula Décima – A DISTRIBUIDORA obriga-se a realizar o atendimento do mercado, inclusive por meio dos programas de universalização instituídos pelo Governo Federal, que será verificado com base na apuração de indicadores, conforme regulação da ANEEL.</w:t>
            </w:r>
          </w:p>
        </w:tc>
        <w:tc>
          <w:tcPr>
            <w:tcW w:w="0" w:type="auto"/>
            <w:gridSpan w:val="2"/>
            <w:vMerge/>
            <w:tcBorders>
              <w:top w:val="nil"/>
              <w:left w:val="single" w:sz="3" w:space="0" w:color="000000"/>
              <w:bottom w:val="nil"/>
              <w:right w:val="nil"/>
            </w:tcBorders>
          </w:tcPr>
          <w:p w14:paraId="6C2D852F" w14:textId="77777777" w:rsidR="00541219" w:rsidRDefault="00541219">
            <w:pPr>
              <w:spacing w:after="160"/>
              <w:ind w:left="0" w:firstLine="0"/>
            </w:pPr>
          </w:p>
        </w:tc>
      </w:tr>
      <w:tr w:rsidR="00541219" w14:paraId="216A58F6"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2C6695CA" w14:textId="77777777" w:rsidR="00541219" w:rsidRDefault="00000000">
            <w:pPr>
              <w:spacing w:after="0"/>
              <w:ind w:left="0" w:firstLine="0"/>
            </w:pPr>
            <w:r>
              <w:rPr>
                <w:sz w:val="7"/>
              </w:rPr>
              <w:lastRenderedPageBreak/>
              <w:t>Subcláusula Décima Primeira – Cumpre à DISTRIBUIDORA observar o disposto na legislação consumerista e na legislação de participação, proteção e defesa dos direitos dos usuários dos serviços públicos.</w:t>
            </w:r>
          </w:p>
        </w:tc>
        <w:tc>
          <w:tcPr>
            <w:tcW w:w="0" w:type="auto"/>
            <w:gridSpan w:val="2"/>
            <w:vMerge/>
            <w:tcBorders>
              <w:top w:val="nil"/>
              <w:left w:val="single" w:sz="3" w:space="0" w:color="000000"/>
              <w:bottom w:val="nil"/>
              <w:right w:val="nil"/>
            </w:tcBorders>
          </w:tcPr>
          <w:p w14:paraId="768D2FA9" w14:textId="77777777" w:rsidR="00541219" w:rsidRDefault="00541219">
            <w:pPr>
              <w:spacing w:after="160"/>
              <w:ind w:left="0" w:firstLine="0"/>
            </w:pPr>
          </w:p>
        </w:tc>
      </w:tr>
      <w:tr w:rsidR="00541219" w14:paraId="6F892993" w14:textId="77777777">
        <w:trPr>
          <w:trHeight w:val="330"/>
        </w:trPr>
        <w:tc>
          <w:tcPr>
            <w:tcW w:w="3727" w:type="dxa"/>
            <w:tcBorders>
              <w:top w:val="single" w:sz="3" w:space="0" w:color="000000"/>
              <w:left w:val="single" w:sz="3" w:space="0" w:color="000000"/>
              <w:bottom w:val="double" w:sz="3" w:space="0" w:color="000000"/>
              <w:right w:val="single" w:sz="3" w:space="0" w:color="000000"/>
            </w:tcBorders>
          </w:tcPr>
          <w:p w14:paraId="07E3A4DF" w14:textId="77777777" w:rsidR="00541219" w:rsidRDefault="00000000">
            <w:pPr>
              <w:spacing w:after="0"/>
              <w:ind w:left="0" w:right="36" w:firstLine="0"/>
              <w:jc w:val="both"/>
            </w:pPr>
            <w:r>
              <w:rPr>
                <w:sz w:val="7"/>
              </w:rPr>
              <w:t>Subcláusula Décima Segunda – A DISTRIBUIDORA obriga-se a cumprir os padrões relativos à satisfação dos usuários, inclusive os aferidos por meio de indicadores de tempo de atendimento de serviços e de pesquisas de opinião pública, conforme regulação da ANEEL.</w:t>
            </w:r>
          </w:p>
        </w:tc>
        <w:tc>
          <w:tcPr>
            <w:tcW w:w="0" w:type="auto"/>
            <w:gridSpan w:val="2"/>
            <w:vMerge/>
            <w:tcBorders>
              <w:top w:val="nil"/>
              <w:left w:val="single" w:sz="3" w:space="0" w:color="000000"/>
              <w:bottom w:val="nil"/>
              <w:right w:val="nil"/>
            </w:tcBorders>
          </w:tcPr>
          <w:p w14:paraId="4338A7C6" w14:textId="77777777" w:rsidR="00541219" w:rsidRDefault="00541219">
            <w:pPr>
              <w:spacing w:after="160"/>
              <w:ind w:left="0" w:firstLine="0"/>
            </w:pPr>
          </w:p>
        </w:tc>
      </w:tr>
      <w:tr w:rsidR="00541219" w14:paraId="355352C2" w14:textId="77777777">
        <w:trPr>
          <w:trHeight w:val="239"/>
        </w:trPr>
        <w:tc>
          <w:tcPr>
            <w:tcW w:w="3727" w:type="dxa"/>
            <w:tcBorders>
              <w:top w:val="double" w:sz="3" w:space="0" w:color="000000"/>
              <w:left w:val="single" w:sz="3" w:space="0" w:color="000000"/>
              <w:bottom w:val="single" w:sz="3" w:space="0" w:color="000000"/>
              <w:right w:val="single" w:sz="3" w:space="0" w:color="000000"/>
            </w:tcBorders>
          </w:tcPr>
          <w:p w14:paraId="7C0CD3A6" w14:textId="77777777" w:rsidR="00541219" w:rsidRDefault="00000000">
            <w:pPr>
              <w:spacing w:after="0"/>
              <w:ind w:left="2" w:firstLine="0"/>
            </w:pPr>
            <w:r>
              <w:t>CLÁUSULA TERCEIRA – OBRIGAÇÕES E ENCARGOS DA DISTRIBUIDORA</w:t>
            </w:r>
          </w:p>
          <w:p w14:paraId="13209333" w14:textId="77777777" w:rsidR="00541219" w:rsidRDefault="00000000">
            <w:pPr>
              <w:spacing w:after="0"/>
              <w:ind w:left="0" w:firstLine="0"/>
              <w:jc w:val="both"/>
            </w:pPr>
            <w:r>
              <w:rPr>
                <w:sz w:val="7"/>
              </w:rPr>
              <w:t>Além de outras decorrentes das normas legais e regulamentares vigentes e de outras disposições deste CONTRATO, constituem obrigações da DISTRIBUIDORA:</w:t>
            </w:r>
          </w:p>
        </w:tc>
        <w:tc>
          <w:tcPr>
            <w:tcW w:w="0" w:type="auto"/>
            <w:gridSpan w:val="2"/>
            <w:vMerge/>
            <w:tcBorders>
              <w:top w:val="nil"/>
              <w:left w:val="single" w:sz="3" w:space="0" w:color="000000"/>
              <w:bottom w:val="nil"/>
              <w:right w:val="nil"/>
            </w:tcBorders>
          </w:tcPr>
          <w:p w14:paraId="63BBC3CC" w14:textId="77777777" w:rsidR="00541219" w:rsidRDefault="00541219">
            <w:pPr>
              <w:spacing w:after="160"/>
              <w:ind w:left="0" w:firstLine="0"/>
            </w:pPr>
          </w:p>
        </w:tc>
      </w:tr>
      <w:tr w:rsidR="00541219" w14:paraId="374A7D21" w14:textId="77777777">
        <w:trPr>
          <w:trHeight w:val="550"/>
        </w:trPr>
        <w:tc>
          <w:tcPr>
            <w:tcW w:w="3727" w:type="dxa"/>
            <w:tcBorders>
              <w:top w:val="single" w:sz="3" w:space="0" w:color="000000"/>
              <w:left w:val="single" w:sz="3" w:space="0" w:color="000000"/>
              <w:bottom w:val="single" w:sz="3" w:space="0" w:color="000000"/>
              <w:right w:val="single" w:sz="3" w:space="0" w:color="000000"/>
            </w:tcBorders>
          </w:tcPr>
          <w:p w14:paraId="589ABAA9" w14:textId="77777777" w:rsidR="00541219" w:rsidRDefault="00000000">
            <w:pPr>
              <w:spacing w:after="0"/>
              <w:ind w:left="497" w:right="9" w:firstLine="0"/>
            </w:pPr>
            <w:r>
              <w:rPr>
                <w:sz w:val="7"/>
              </w:rPr>
              <w:t xml:space="preserve">     I. operar o sistema de distribuição, implementando, conforme regulação da ANEEL, centros de operação e controle para gestão ativa de oferta e demanda, otimização de uso da rede, tecnologias de monitoramento e análise dos dados em tempo real, em colaboração contínua com outros agentes e de forma coordenada e colaborativa com o Operador Nacional do Sistema Elétrico - ONS, de modo a assegurar a continuidade e a eficiência do serviço regulado, a segurança das pessoas e a conservação dos bens e instalações;</w:t>
            </w:r>
          </w:p>
        </w:tc>
        <w:tc>
          <w:tcPr>
            <w:tcW w:w="0" w:type="auto"/>
            <w:gridSpan w:val="2"/>
            <w:vMerge/>
            <w:tcBorders>
              <w:top w:val="nil"/>
              <w:left w:val="single" w:sz="3" w:space="0" w:color="000000"/>
              <w:bottom w:val="nil"/>
              <w:right w:val="nil"/>
            </w:tcBorders>
          </w:tcPr>
          <w:p w14:paraId="42F7CB99" w14:textId="77777777" w:rsidR="00541219" w:rsidRDefault="00541219">
            <w:pPr>
              <w:spacing w:after="160"/>
              <w:ind w:left="0" w:firstLine="0"/>
            </w:pPr>
          </w:p>
        </w:tc>
      </w:tr>
      <w:tr w:rsidR="00541219" w14:paraId="65B36291" w14:textId="77777777">
        <w:trPr>
          <w:trHeight w:val="365"/>
        </w:trPr>
        <w:tc>
          <w:tcPr>
            <w:tcW w:w="3727" w:type="dxa"/>
            <w:tcBorders>
              <w:top w:val="single" w:sz="3" w:space="0" w:color="000000"/>
              <w:left w:val="single" w:sz="3" w:space="0" w:color="000000"/>
              <w:bottom w:val="single" w:sz="3" w:space="0" w:color="000000"/>
              <w:right w:val="single" w:sz="3" w:space="0" w:color="000000"/>
            </w:tcBorders>
          </w:tcPr>
          <w:p w14:paraId="3FAF3EF1" w14:textId="77777777" w:rsidR="00541219" w:rsidRDefault="00000000">
            <w:pPr>
              <w:spacing w:after="0"/>
              <w:ind w:left="497" w:firstLine="0"/>
            </w:pPr>
            <w:r>
              <w:rPr>
                <w:sz w:val="7"/>
              </w:rPr>
              <w:t xml:space="preserve">     II. organizar e manter controle patrimonial dos bens e instalações vinculados à concessão, zelando por sua integridade e providenciando que aqueles que, por razões de ordem técnica, sejam essenciais à garantia e confiabilidade do sistema elétrico, estejam sempre adequadamente garantidos por seguro;</w:t>
            </w:r>
          </w:p>
        </w:tc>
        <w:tc>
          <w:tcPr>
            <w:tcW w:w="0" w:type="auto"/>
            <w:gridSpan w:val="2"/>
            <w:vMerge/>
            <w:tcBorders>
              <w:top w:val="nil"/>
              <w:left w:val="single" w:sz="3" w:space="0" w:color="000000"/>
              <w:bottom w:val="nil"/>
              <w:right w:val="nil"/>
            </w:tcBorders>
          </w:tcPr>
          <w:p w14:paraId="410E893B" w14:textId="77777777" w:rsidR="00541219" w:rsidRDefault="00541219">
            <w:pPr>
              <w:spacing w:after="160"/>
              <w:ind w:left="0" w:firstLine="0"/>
            </w:pPr>
          </w:p>
        </w:tc>
      </w:tr>
      <w:tr w:rsidR="00541219" w14:paraId="6760D5A3"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2DD92F1E" w14:textId="77777777" w:rsidR="00541219" w:rsidRDefault="00000000">
            <w:pPr>
              <w:spacing w:after="0"/>
              <w:ind w:left="497" w:firstLine="0"/>
              <w:jc w:val="both"/>
            </w:pPr>
            <w:r>
              <w:rPr>
                <w:sz w:val="7"/>
              </w:rPr>
              <w:t xml:space="preserve">     III. prestar contas à ANEEL da gestão do serviço público de distribuição de energia elétrica concedido, na periodicidade e forma previstas nas normas setoriais;</w:t>
            </w:r>
          </w:p>
        </w:tc>
        <w:tc>
          <w:tcPr>
            <w:tcW w:w="0" w:type="auto"/>
            <w:gridSpan w:val="2"/>
            <w:vMerge/>
            <w:tcBorders>
              <w:top w:val="nil"/>
              <w:left w:val="single" w:sz="3" w:space="0" w:color="000000"/>
              <w:bottom w:val="nil"/>
              <w:right w:val="nil"/>
            </w:tcBorders>
          </w:tcPr>
          <w:p w14:paraId="7FF14E96" w14:textId="77777777" w:rsidR="00541219" w:rsidRDefault="00541219">
            <w:pPr>
              <w:spacing w:after="160"/>
              <w:ind w:left="0" w:firstLine="0"/>
            </w:pPr>
          </w:p>
        </w:tc>
      </w:tr>
      <w:tr w:rsidR="00541219" w14:paraId="20C5765A"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08F0C5E1" w14:textId="77777777" w:rsidR="00541219" w:rsidRDefault="00000000">
            <w:pPr>
              <w:spacing w:after="0"/>
              <w:ind w:left="497" w:firstLine="0"/>
              <w:jc w:val="both"/>
            </w:pPr>
            <w:r>
              <w:rPr>
                <w:sz w:val="7"/>
              </w:rPr>
              <w:t xml:space="preserve">     IV. observar a legislação de proteção ambiental, respondendo pelas consequências de seu eventual descumprimento;</w:t>
            </w:r>
          </w:p>
        </w:tc>
        <w:tc>
          <w:tcPr>
            <w:tcW w:w="0" w:type="auto"/>
            <w:gridSpan w:val="2"/>
            <w:vMerge/>
            <w:tcBorders>
              <w:top w:val="nil"/>
              <w:left w:val="single" w:sz="3" w:space="0" w:color="000000"/>
              <w:bottom w:val="nil"/>
              <w:right w:val="nil"/>
            </w:tcBorders>
          </w:tcPr>
          <w:p w14:paraId="17E3FF4A" w14:textId="77777777" w:rsidR="00541219" w:rsidRDefault="00541219">
            <w:pPr>
              <w:spacing w:after="160"/>
              <w:ind w:left="0" w:firstLine="0"/>
            </w:pPr>
          </w:p>
        </w:tc>
      </w:tr>
      <w:tr w:rsidR="00541219" w14:paraId="3611D6BB"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525A2493" w14:textId="77777777" w:rsidR="00541219" w:rsidRDefault="00000000">
            <w:pPr>
              <w:spacing w:after="0"/>
              <w:ind w:left="497" w:firstLine="0"/>
            </w:pPr>
            <w:r>
              <w:rPr>
                <w:sz w:val="7"/>
              </w:rPr>
              <w:t xml:space="preserve">     V. assegurar aos interessados o acesso às suas redes, observadas as condições de acesso e as tarifas homologadas pela ANEEL;</w:t>
            </w:r>
          </w:p>
        </w:tc>
        <w:tc>
          <w:tcPr>
            <w:tcW w:w="0" w:type="auto"/>
            <w:gridSpan w:val="2"/>
            <w:vMerge/>
            <w:tcBorders>
              <w:top w:val="nil"/>
              <w:left w:val="single" w:sz="3" w:space="0" w:color="000000"/>
              <w:bottom w:val="nil"/>
              <w:right w:val="nil"/>
            </w:tcBorders>
          </w:tcPr>
          <w:p w14:paraId="6739F8FC" w14:textId="77777777" w:rsidR="00541219" w:rsidRDefault="00541219">
            <w:pPr>
              <w:spacing w:after="160"/>
              <w:ind w:left="0" w:firstLine="0"/>
            </w:pPr>
          </w:p>
        </w:tc>
      </w:tr>
      <w:tr w:rsidR="00541219" w14:paraId="1A7B88C4" w14:textId="77777777">
        <w:trPr>
          <w:trHeight w:val="365"/>
        </w:trPr>
        <w:tc>
          <w:tcPr>
            <w:tcW w:w="3727" w:type="dxa"/>
            <w:tcBorders>
              <w:top w:val="single" w:sz="3" w:space="0" w:color="000000"/>
              <w:left w:val="single" w:sz="3" w:space="0" w:color="000000"/>
              <w:bottom w:val="single" w:sz="3" w:space="0" w:color="000000"/>
              <w:right w:val="single" w:sz="3" w:space="0" w:color="000000"/>
            </w:tcBorders>
          </w:tcPr>
          <w:p w14:paraId="65678F16" w14:textId="77777777" w:rsidR="00541219" w:rsidRDefault="00000000">
            <w:pPr>
              <w:spacing w:after="0"/>
              <w:ind w:left="497" w:firstLine="0"/>
            </w:pPr>
            <w:r>
              <w:rPr>
                <w:sz w:val="7"/>
              </w:rPr>
              <w:t xml:space="preserve">     VI. participar, quando for o caso, da Câmara de Comercialização de Energia Elétrica – CCEE e do Operador Nacional do Sistema Elétrico – ONS, nas condições previstas pelo Estatuto do ONS e pela Convenção de Comercialização de Energia Elétrica, submetendo-se às regras e procedimentos emanados destas entidades;</w:t>
            </w:r>
          </w:p>
        </w:tc>
        <w:tc>
          <w:tcPr>
            <w:tcW w:w="0" w:type="auto"/>
            <w:gridSpan w:val="2"/>
            <w:vMerge/>
            <w:tcBorders>
              <w:top w:val="nil"/>
              <w:left w:val="single" w:sz="3" w:space="0" w:color="000000"/>
              <w:bottom w:val="nil"/>
              <w:right w:val="nil"/>
            </w:tcBorders>
          </w:tcPr>
          <w:p w14:paraId="50E91FF3" w14:textId="77777777" w:rsidR="00541219" w:rsidRDefault="00541219">
            <w:pPr>
              <w:spacing w:after="160"/>
              <w:ind w:left="0" w:firstLine="0"/>
            </w:pPr>
          </w:p>
        </w:tc>
      </w:tr>
      <w:tr w:rsidR="00541219" w14:paraId="6A6F33A5" w14:textId="77777777">
        <w:trPr>
          <w:trHeight w:val="91"/>
        </w:trPr>
        <w:tc>
          <w:tcPr>
            <w:tcW w:w="3727" w:type="dxa"/>
            <w:tcBorders>
              <w:top w:val="single" w:sz="3" w:space="0" w:color="000000"/>
              <w:left w:val="single" w:sz="3" w:space="0" w:color="000000"/>
              <w:bottom w:val="single" w:sz="3" w:space="0" w:color="000000"/>
              <w:right w:val="single" w:sz="3" w:space="0" w:color="000000"/>
            </w:tcBorders>
          </w:tcPr>
          <w:p w14:paraId="103A98BA" w14:textId="77777777" w:rsidR="00541219" w:rsidRDefault="00000000">
            <w:pPr>
              <w:spacing w:after="0"/>
              <w:ind w:left="497" w:firstLine="0"/>
            </w:pPr>
            <w:r>
              <w:rPr>
                <w:sz w:val="7"/>
              </w:rPr>
              <w:t xml:space="preserve">     VII. manter seu acervo documental auditável, em conformidade com as normas </w:t>
            </w:r>
            <w:proofErr w:type="gramStart"/>
            <w:r>
              <w:rPr>
                <w:sz w:val="7"/>
              </w:rPr>
              <w:t xml:space="preserve">vigentes;   </w:t>
            </w:r>
            <w:proofErr w:type="gramEnd"/>
            <w:r>
              <w:rPr>
                <w:sz w:val="7"/>
              </w:rPr>
              <w:t xml:space="preserve">  </w:t>
            </w:r>
          </w:p>
        </w:tc>
        <w:tc>
          <w:tcPr>
            <w:tcW w:w="0" w:type="auto"/>
            <w:gridSpan w:val="2"/>
            <w:vMerge/>
            <w:tcBorders>
              <w:top w:val="nil"/>
              <w:left w:val="single" w:sz="3" w:space="0" w:color="000000"/>
              <w:bottom w:val="nil"/>
              <w:right w:val="nil"/>
            </w:tcBorders>
          </w:tcPr>
          <w:p w14:paraId="3301E306" w14:textId="77777777" w:rsidR="00541219" w:rsidRDefault="00541219">
            <w:pPr>
              <w:spacing w:after="160"/>
              <w:ind w:left="0" w:firstLine="0"/>
            </w:pPr>
          </w:p>
        </w:tc>
      </w:tr>
      <w:tr w:rsidR="00541219" w14:paraId="4E0A1D93"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471D324F" w14:textId="77777777" w:rsidR="00541219" w:rsidRDefault="00000000">
            <w:pPr>
              <w:spacing w:after="0"/>
              <w:ind w:left="497" w:firstLine="0"/>
            </w:pPr>
            <w:r>
              <w:rPr>
                <w:sz w:val="7"/>
              </w:rPr>
              <w:t xml:space="preserve">     VIII. instalar, por sua conta, os equipamentos de monitoramento e controle de tensão necessários para assegurar a qualidade do serviço, inclusive aqueles solicitados pelo Operador Nacional do Sistema Elétrico;</w:t>
            </w:r>
          </w:p>
        </w:tc>
        <w:tc>
          <w:tcPr>
            <w:tcW w:w="0" w:type="auto"/>
            <w:gridSpan w:val="2"/>
            <w:vMerge/>
            <w:tcBorders>
              <w:top w:val="nil"/>
              <w:left w:val="single" w:sz="3" w:space="0" w:color="000000"/>
              <w:bottom w:val="single" w:sz="3" w:space="0" w:color="000000"/>
              <w:right w:val="nil"/>
            </w:tcBorders>
          </w:tcPr>
          <w:p w14:paraId="461FD3B8" w14:textId="77777777" w:rsidR="00541219" w:rsidRDefault="00541219">
            <w:pPr>
              <w:spacing w:after="160"/>
              <w:ind w:left="0" w:firstLine="0"/>
            </w:pPr>
          </w:p>
        </w:tc>
      </w:tr>
      <w:tr w:rsidR="00541219" w14:paraId="04CBB627" w14:textId="77777777">
        <w:trPr>
          <w:trHeight w:val="322"/>
        </w:trPr>
        <w:tc>
          <w:tcPr>
            <w:tcW w:w="3727" w:type="dxa"/>
            <w:tcBorders>
              <w:top w:val="single" w:sz="3" w:space="0" w:color="000000"/>
              <w:left w:val="single" w:sz="3" w:space="0" w:color="000000"/>
              <w:bottom w:val="single" w:sz="3" w:space="0" w:color="000000"/>
              <w:right w:val="single" w:sz="3" w:space="0" w:color="000000"/>
            </w:tcBorders>
          </w:tcPr>
          <w:p w14:paraId="751D612C" w14:textId="77777777" w:rsidR="00541219" w:rsidRDefault="00541219">
            <w:pPr>
              <w:spacing w:after="160"/>
              <w:ind w:left="0" w:firstLine="0"/>
            </w:pPr>
          </w:p>
        </w:tc>
        <w:tc>
          <w:tcPr>
            <w:tcW w:w="3041" w:type="dxa"/>
            <w:tcBorders>
              <w:top w:val="single" w:sz="3" w:space="0" w:color="000000"/>
              <w:left w:val="single" w:sz="3" w:space="0" w:color="000000"/>
              <w:bottom w:val="single" w:sz="3" w:space="0" w:color="000000"/>
              <w:right w:val="single" w:sz="3" w:space="0" w:color="000000"/>
            </w:tcBorders>
          </w:tcPr>
          <w:p w14:paraId="0325CDD9" w14:textId="77777777" w:rsidR="00541219" w:rsidRDefault="00000000">
            <w:pPr>
              <w:spacing w:after="0"/>
              <w:ind w:left="5" w:firstLine="0"/>
            </w:pPr>
            <w:r>
              <w:rPr>
                <w:color w:val="FF0000"/>
              </w:rPr>
              <w:t>(</w:t>
            </w:r>
            <w:proofErr w:type="spellStart"/>
            <w:r>
              <w:rPr>
                <w:color w:val="FF0000"/>
              </w:rPr>
              <w:t>Incluisão</w:t>
            </w:r>
            <w:proofErr w:type="spellEnd"/>
            <w:r>
              <w:rPr>
                <w:color w:val="FF0000"/>
              </w:rPr>
              <w:t>) Apresentar à Aneel um plano anual de obras a ser executado, tendo em vista o resultado das medições definidas no item VIII da Cláusula Terceira, para assegurar o nível adequado de tensão.</w:t>
            </w:r>
          </w:p>
        </w:tc>
        <w:tc>
          <w:tcPr>
            <w:tcW w:w="3473" w:type="dxa"/>
            <w:tcBorders>
              <w:top w:val="single" w:sz="3" w:space="0" w:color="000000"/>
              <w:left w:val="single" w:sz="3" w:space="0" w:color="000000"/>
              <w:bottom w:val="single" w:sz="3" w:space="0" w:color="000000"/>
              <w:right w:val="single" w:sz="3" w:space="0" w:color="000000"/>
            </w:tcBorders>
            <w:vAlign w:val="center"/>
          </w:tcPr>
          <w:p w14:paraId="5C56B0DB" w14:textId="77777777" w:rsidR="00541219" w:rsidRDefault="00000000">
            <w:pPr>
              <w:spacing w:after="0"/>
              <w:ind w:left="5" w:firstLine="0"/>
            </w:pPr>
            <w:r>
              <w:t>Para garantir de que os limites adequados de tensão sejam cumpridos.</w:t>
            </w:r>
          </w:p>
        </w:tc>
      </w:tr>
      <w:tr w:rsidR="00541219" w14:paraId="58A4BBF3"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1617B290" w14:textId="77777777" w:rsidR="00541219" w:rsidRDefault="00000000">
            <w:pPr>
              <w:spacing w:after="0"/>
              <w:ind w:left="497" w:firstLine="0"/>
            </w:pPr>
            <w:r>
              <w:rPr>
                <w:sz w:val="7"/>
              </w:rPr>
              <w:t xml:space="preserve">     IX. adotar as soluções decorrentes do planejamento da operação do Sistema Interligado </w:t>
            </w:r>
          </w:p>
          <w:p w14:paraId="262A013A" w14:textId="77777777" w:rsidR="00541219" w:rsidRDefault="00000000">
            <w:pPr>
              <w:spacing w:after="0"/>
              <w:ind w:left="0" w:right="34" w:firstLine="0"/>
              <w:jc w:val="right"/>
            </w:pPr>
            <w:r>
              <w:rPr>
                <w:sz w:val="7"/>
              </w:rPr>
              <w:t>Nacional – SIN, especialmente aquelas relacionadas aos Sistemas Especiais de Proteção – SEP;</w:t>
            </w:r>
          </w:p>
        </w:tc>
        <w:tc>
          <w:tcPr>
            <w:tcW w:w="6514" w:type="dxa"/>
            <w:gridSpan w:val="2"/>
            <w:vMerge w:val="restart"/>
            <w:tcBorders>
              <w:top w:val="single" w:sz="3" w:space="0" w:color="000000"/>
              <w:left w:val="single" w:sz="3" w:space="0" w:color="000000"/>
              <w:bottom w:val="single" w:sz="3" w:space="0" w:color="000000"/>
              <w:right w:val="nil"/>
            </w:tcBorders>
          </w:tcPr>
          <w:p w14:paraId="347DC96A" w14:textId="77777777" w:rsidR="00541219" w:rsidRDefault="00541219">
            <w:pPr>
              <w:spacing w:after="160"/>
              <w:ind w:left="0" w:firstLine="0"/>
            </w:pPr>
          </w:p>
        </w:tc>
      </w:tr>
      <w:tr w:rsidR="00541219" w14:paraId="6356FBBD"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42CB4E51" w14:textId="77777777" w:rsidR="00541219" w:rsidRDefault="00000000">
            <w:pPr>
              <w:spacing w:after="0"/>
              <w:ind w:left="497" w:firstLine="0"/>
            </w:pPr>
            <w:r>
              <w:rPr>
                <w:sz w:val="7"/>
              </w:rPr>
              <w:t xml:space="preserve">     X. realizar, em conjunto com as transmissoras, os estudos e os ajustes necessários ao funcionamento adequado dos Sistemas de Proteção nas Fronteiras com a Rede Básica do SIN;</w:t>
            </w:r>
          </w:p>
        </w:tc>
        <w:tc>
          <w:tcPr>
            <w:tcW w:w="0" w:type="auto"/>
            <w:gridSpan w:val="2"/>
            <w:vMerge/>
            <w:tcBorders>
              <w:top w:val="nil"/>
              <w:left w:val="single" w:sz="3" w:space="0" w:color="000000"/>
              <w:bottom w:val="nil"/>
              <w:right w:val="nil"/>
            </w:tcBorders>
          </w:tcPr>
          <w:p w14:paraId="0C8848A1" w14:textId="77777777" w:rsidR="00541219" w:rsidRDefault="00541219">
            <w:pPr>
              <w:spacing w:after="160"/>
              <w:ind w:left="0" w:firstLine="0"/>
            </w:pPr>
          </w:p>
        </w:tc>
      </w:tr>
      <w:tr w:rsidR="00541219" w14:paraId="72692ED0"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1B0464CB" w14:textId="77777777" w:rsidR="00541219" w:rsidRDefault="00000000">
            <w:pPr>
              <w:spacing w:after="0"/>
              <w:ind w:left="497" w:firstLine="0"/>
            </w:pPr>
            <w:r>
              <w:rPr>
                <w:sz w:val="7"/>
              </w:rPr>
              <w:t xml:space="preserve">     XI. compartilhar infraestrutura com outros prestadores de serviço público, observando as condições de segurança, o tratamento isonômico e buscando a redução de custos, nos termos e condições previstas na legislação e na regulação da ANEEL;</w:t>
            </w:r>
          </w:p>
        </w:tc>
        <w:tc>
          <w:tcPr>
            <w:tcW w:w="0" w:type="auto"/>
            <w:gridSpan w:val="2"/>
            <w:vMerge/>
            <w:tcBorders>
              <w:top w:val="nil"/>
              <w:left w:val="single" w:sz="3" w:space="0" w:color="000000"/>
              <w:bottom w:val="nil"/>
              <w:right w:val="nil"/>
            </w:tcBorders>
          </w:tcPr>
          <w:p w14:paraId="129B7F23" w14:textId="77777777" w:rsidR="00541219" w:rsidRDefault="00541219">
            <w:pPr>
              <w:spacing w:after="160"/>
              <w:ind w:left="0" w:firstLine="0"/>
            </w:pPr>
          </w:p>
        </w:tc>
      </w:tr>
      <w:tr w:rsidR="00541219" w14:paraId="561F12E7"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4835DE3E" w14:textId="77777777" w:rsidR="00541219" w:rsidRDefault="00000000">
            <w:pPr>
              <w:spacing w:after="0"/>
              <w:ind w:left="497" w:firstLine="0"/>
            </w:pPr>
            <w:r>
              <w:rPr>
                <w:sz w:val="7"/>
              </w:rPr>
              <w:t xml:space="preserve">     XII. prestar contas aos usuários, periodicamente, da gestão do serviço público de distribuição de energia elétrica concedido, nos termos estabelecidos pela regulação da ANEEL;</w:t>
            </w:r>
          </w:p>
        </w:tc>
        <w:tc>
          <w:tcPr>
            <w:tcW w:w="0" w:type="auto"/>
            <w:gridSpan w:val="2"/>
            <w:vMerge/>
            <w:tcBorders>
              <w:top w:val="nil"/>
              <w:left w:val="single" w:sz="3" w:space="0" w:color="000000"/>
              <w:bottom w:val="nil"/>
              <w:right w:val="nil"/>
            </w:tcBorders>
          </w:tcPr>
          <w:p w14:paraId="559BD3F4" w14:textId="77777777" w:rsidR="00541219" w:rsidRDefault="00541219">
            <w:pPr>
              <w:spacing w:after="160"/>
              <w:ind w:left="0" w:firstLine="0"/>
            </w:pPr>
          </w:p>
        </w:tc>
      </w:tr>
      <w:tr w:rsidR="00541219" w14:paraId="357B9EDB"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01250AE7" w14:textId="77777777" w:rsidR="00541219" w:rsidRDefault="00000000">
            <w:pPr>
              <w:spacing w:after="0"/>
              <w:ind w:left="497" w:firstLine="0"/>
            </w:pPr>
            <w:r>
              <w:rPr>
                <w:sz w:val="7"/>
              </w:rPr>
              <w:t xml:space="preserve">     XIII. submeter à anuência prévia da ANEEL, na forma e condições previstas nas normas setoriais:</w:t>
            </w:r>
          </w:p>
        </w:tc>
        <w:tc>
          <w:tcPr>
            <w:tcW w:w="0" w:type="auto"/>
            <w:gridSpan w:val="2"/>
            <w:vMerge/>
            <w:tcBorders>
              <w:top w:val="nil"/>
              <w:left w:val="single" w:sz="3" w:space="0" w:color="000000"/>
              <w:bottom w:val="nil"/>
              <w:right w:val="nil"/>
            </w:tcBorders>
          </w:tcPr>
          <w:p w14:paraId="051FF160" w14:textId="77777777" w:rsidR="00541219" w:rsidRDefault="00541219">
            <w:pPr>
              <w:spacing w:after="160"/>
              <w:ind w:left="0" w:firstLine="0"/>
            </w:pPr>
          </w:p>
        </w:tc>
      </w:tr>
      <w:tr w:rsidR="00541219" w14:paraId="26D5EDC1"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628A189F" w14:textId="77777777" w:rsidR="00541219" w:rsidRDefault="00000000">
            <w:pPr>
              <w:spacing w:after="0"/>
              <w:ind w:left="994" w:firstLine="0"/>
              <w:jc w:val="both"/>
            </w:pPr>
            <w:r>
              <w:rPr>
                <w:sz w:val="7"/>
              </w:rPr>
              <w:t xml:space="preserve">          a) a alienação, cessão, concessão, transferência, dação em garantia ou desvinculação de ativos vinculados ao serviço público outorgado; e</w:t>
            </w:r>
          </w:p>
        </w:tc>
        <w:tc>
          <w:tcPr>
            <w:tcW w:w="0" w:type="auto"/>
            <w:gridSpan w:val="2"/>
            <w:vMerge/>
            <w:tcBorders>
              <w:top w:val="nil"/>
              <w:left w:val="single" w:sz="3" w:space="0" w:color="000000"/>
              <w:bottom w:val="nil"/>
              <w:right w:val="nil"/>
            </w:tcBorders>
          </w:tcPr>
          <w:p w14:paraId="66DF7D47" w14:textId="77777777" w:rsidR="00541219" w:rsidRDefault="00541219">
            <w:pPr>
              <w:spacing w:after="160"/>
              <w:ind w:left="0" w:firstLine="0"/>
            </w:pPr>
          </w:p>
        </w:tc>
      </w:tr>
      <w:tr w:rsidR="00541219" w14:paraId="1D611008" w14:textId="77777777">
        <w:trPr>
          <w:trHeight w:val="91"/>
        </w:trPr>
        <w:tc>
          <w:tcPr>
            <w:tcW w:w="3727" w:type="dxa"/>
            <w:tcBorders>
              <w:top w:val="single" w:sz="3" w:space="0" w:color="000000"/>
              <w:left w:val="single" w:sz="3" w:space="0" w:color="000000"/>
              <w:bottom w:val="single" w:sz="3" w:space="0" w:color="000000"/>
              <w:right w:val="single" w:sz="3" w:space="0" w:color="000000"/>
            </w:tcBorders>
          </w:tcPr>
          <w:p w14:paraId="780EBA3C" w14:textId="77777777" w:rsidR="00541219" w:rsidRDefault="00000000">
            <w:pPr>
              <w:spacing w:after="0"/>
              <w:ind w:left="994" w:firstLine="0"/>
            </w:pPr>
            <w:r>
              <w:rPr>
                <w:sz w:val="7"/>
              </w:rPr>
              <w:t xml:space="preserve">          b) a transferência de concessão ou do controle societário.</w:t>
            </w:r>
          </w:p>
        </w:tc>
        <w:tc>
          <w:tcPr>
            <w:tcW w:w="0" w:type="auto"/>
            <w:gridSpan w:val="2"/>
            <w:vMerge/>
            <w:tcBorders>
              <w:top w:val="nil"/>
              <w:left w:val="single" w:sz="3" w:space="0" w:color="000000"/>
              <w:bottom w:val="nil"/>
              <w:right w:val="nil"/>
            </w:tcBorders>
          </w:tcPr>
          <w:p w14:paraId="680B87AE" w14:textId="77777777" w:rsidR="00541219" w:rsidRDefault="00541219">
            <w:pPr>
              <w:spacing w:after="160"/>
              <w:ind w:left="0" w:firstLine="0"/>
            </w:pPr>
          </w:p>
        </w:tc>
      </w:tr>
      <w:tr w:rsidR="00541219" w14:paraId="58F77CBD"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2FB0B303" w14:textId="77777777" w:rsidR="00541219" w:rsidRDefault="00000000">
            <w:pPr>
              <w:spacing w:after="0"/>
              <w:ind w:left="497" w:firstLine="0"/>
              <w:jc w:val="both"/>
            </w:pPr>
            <w:r>
              <w:rPr>
                <w:sz w:val="7"/>
              </w:rPr>
              <w:t xml:space="preserve">     XIV. comprometer-se com a redução de perdas elétricas, conforme regulação da ANEEL, sujeitando-se, inclusive, a sanções pelo seu descumprimento;</w:t>
            </w:r>
          </w:p>
        </w:tc>
        <w:tc>
          <w:tcPr>
            <w:tcW w:w="0" w:type="auto"/>
            <w:gridSpan w:val="2"/>
            <w:vMerge/>
            <w:tcBorders>
              <w:top w:val="nil"/>
              <w:left w:val="single" w:sz="3" w:space="0" w:color="000000"/>
              <w:bottom w:val="nil"/>
              <w:right w:val="nil"/>
            </w:tcBorders>
          </w:tcPr>
          <w:p w14:paraId="28D04518" w14:textId="77777777" w:rsidR="00541219" w:rsidRDefault="00541219">
            <w:pPr>
              <w:spacing w:after="160"/>
              <w:ind w:left="0" w:firstLine="0"/>
            </w:pPr>
          </w:p>
        </w:tc>
      </w:tr>
      <w:tr w:rsidR="00541219" w14:paraId="688702F0"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29794264" w14:textId="77777777" w:rsidR="00541219" w:rsidRDefault="00000000">
            <w:pPr>
              <w:spacing w:after="0"/>
              <w:ind w:left="497" w:right="40" w:firstLine="0"/>
              <w:jc w:val="both"/>
            </w:pPr>
            <w:r>
              <w:rPr>
                <w:sz w:val="7"/>
              </w:rPr>
              <w:t xml:space="preserve">     XV. disponibilizar aos usuários o Serviço de Atendimento – SAC, inclusive com canal de comunicação dedicado ao atendimento de órgão central dos Poderes Públicos municipal, distrital e estadual, observada a legislação e a regulação da ANEEL;</w:t>
            </w:r>
          </w:p>
        </w:tc>
        <w:tc>
          <w:tcPr>
            <w:tcW w:w="0" w:type="auto"/>
            <w:gridSpan w:val="2"/>
            <w:vMerge/>
            <w:tcBorders>
              <w:top w:val="nil"/>
              <w:left w:val="single" w:sz="3" w:space="0" w:color="000000"/>
              <w:bottom w:val="single" w:sz="3" w:space="0" w:color="000000"/>
              <w:right w:val="nil"/>
            </w:tcBorders>
          </w:tcPr>
          <w:p w14:paraId="2BF4C71A" w14:textId="77777777" w:rsidR="00541219" w:rsidRDefault="00541219">
            <w:pPr>
              <w:spacing w:after="160"/>
              <w:ind w:left="0" w:firstLine="0"/>
            </w:pPr>
          </w:p>
        </w:tc>
      </w:tr>
      <w:tr w:rsidR="00541219" w14:paraId="07C4A14A" w14:textId="77777777">
        <w:trPr>
          <w:trHeight w:val="322"/>
        </w:trPr>
        <w:tc>
          <w:tcPr>
            <w:tcW w:w="3727" w:type="dxa"/>
            <w:tcBorders>
              <w:top w:val="single" w:sz="3" w:space="0" w:color="000000"/>
              <w:left w:val="single" w:sz="3" w:space="0" w:color="000000"/>
              <w:bottom w:val="single" w:sz="3" w:space="0" w:color="000000"/>
              <w:right w:val="single" w:sz="3" w:space="0" w:color="000000"/>
            </w:tcBorders>
          </w:tcPr>
          <w:p w14:paraId="1E88B0DE" w14:textId="77777777" w:rsidR="00541219" w:rsidRDefault="00541219">
            <w:pPr>
              <w:spacing w:after="160"/>
              <w:ind w:left="0" w:firstLine="0"/>
            </w:pPr>
          </w:p>
        </w:tc>
        <w:tc>
          <w:tcPr>
            <w:tcW w:w="3041" w:type="dxa"/>
            <w:tcBorders>
              <w:top w:val="single" w:sz="3" w:space="0" w:color="000000"/>
              <w:left w:val="single" w:sz="3" w:space="0" w:color="000000"/>
              <w:bottom w:val="single" w:sz="3" w:space="0" w:color="000000"/>
              <w:right w:val="single" w:sz="3" w:space="0" w:color="000000"/>
            </w:tcBorders>
          </w:tcPr>
          <w:p w14:paraId="7CF5FBE7" w14:textId="77777777" w:rsidR="00541219" w:rsidRDefault="00000000">
            <w:pPr>
              <w:spacing w:after="0"/>
              <w:ind w:left="5" w:firstLine="0"/>
            </w:pPr>
            <w:r>
              <w:rPr>
                <w:color w:val="FF0000"/>
              </w:rPr>
              <w:t>(Inclusão) Disponibilizar aos usuários Lojas de Atendimento Presencial, em toda área de concessão, conforme regulamento da Aneel.</w:t>
            </w:r>
          </w:p>
        </w:tc>
        <w:tc>
          <w:tcPr>
            <w:tcW w:w="3473" w:type="dxa"/>
            <w:tcBorders>
              <w:top w:val="single" w:sz="3" w:space="0" w:color="000000"/>
              <w:left w:val="single" w:sz="3" w:space="0" w:color="000000"/>
              <w:bottom w:val="single" w:sz="3" w:space="0" w:color="000000"/>
              <w:right w:val="single" w:sz="3" w:space="0" w:color="000000"/>
            </w:tcBorders>
            <w:vAlign w:val="center"/>
          </w:tcPr>
          <w:p w14:paraId="03CDC329" w14:textId="77777777" w:rsidR="00541219" w:rsidRDefault="00000000">
            <w:pPr>
              <w:spacing w:after="0"/>
              <w:ind w:left="5" w:firstLine="0"/>
            </w:pPr>
            <w:r>
              <w:t>Para garantir atendimento presencial a qualquer usuário que assim deseje.</w:t>
            </w:r>
          </w:p>
        </w:tc>
      </w:tr>
      <w:tr w:rsidR="00541219" w14:paraId="3FB88AE3" w14:textId="77777777">
        <w:trPr>
          <w:trHeight w:val="646"/>
        </w:trPr>
        <w:tc>
          <w:tcPr>
            <w:tcW w:w="3727" w:type="dxa"/>
            <w:tcBorders>
              <w:top w:val="single" w:sz="3" w:space="0" w:color="000000"/>
              <w:left w:val="single" w:sz="3" w:space="0" w:color="000000"/>
              <w:bottom w:val="single" w:sz="3" w:space="0" w:color="000000"/>
              <w:right w:val="single" w:sz="3" w:space="0" w:color="000000"/>
            </w:tcBorders>
            <w:vAlign w:val="center"/>
          </w:tcPr>
          <w:p w14:paraId="1D6C3980" w14:textId="77777777" w:rsidR="00541219" w:rsidRDefault="00000000">
            <w:pPr>
              <w:spacing w:after="0"/>
              <w:ind w:left="497" w:right="13" w:firstLine="0"/>
            </w:pPr>
            <w:r>
              <w:rPr>
                <w:sz w:val="7"/>
              </w:rPr>
              <w:t xml:space="preserve">     XVI. disponibilizar, em seu sítio eletrônico, informações sobre disponibilidade de carga, carregamento atual e projetado, fluxos de potência e demais informações necessárias à facilitação dos processos de conexão de usuários, incluídos aqueles que fazem uso da microgeração e minigeração distribuída, conforme regulação da ANEEL.</w:t>
            </w:r>
          </w:p>
        </w:tc>
        <w:tc>
          <w:tcPr>
            <w:tcW w:w="3041" w:type="dxa"/>
            <w:tcBorders>
              <w:top w:val="single" w:sz="3" w:space="0" w:color="000000"/>
              <w:left w:val="single" w:sz="3" w:space="0" w:color="000000"/>
              <w:bottom w:val="single" w:sz="3" w:space="0" w:color="000000"/>
              <w:right w:val="single" w:sz="3" w:space="0" w:color="000000"/>
            </w:tcBorders>
          </w:tcPr>
          <w:p w14:paraId="5BE69E05" w14:textId="77777777" w:rsidR="00541219" w:rsidRDefault="00000000">
            <w:pPr>
              <w:spacing w:after="0"/>
              <w:ind w:left="5" w:right="21" w:firstLine="0"/>
            </w:pPr>
            <w:r>
              <w:t xml:space="preserve">disponibilizar, </w:t>
            </w:r>
            <w:r>
              <w:rPr>
                <w:color w:val="C00000"/>
              </w:rPr>
              <w:t>em tempo real</w:t>
            </w:r>
            <w:r>
              <w:t xml:space="preserve">, em seu sítio eletrônico, informações sobre disponibilidade de carga </w:t>
            </w:r>
            <w:r>
              <w:rPr>
                <w:color w:val="C00000"/>
              </w:rPr>
              <w:t>e de conexão para geração</w:t>
            </w:r>
            <w:r>
              <w:t>, carregamento atual e projetado, fluxos de potência e demais informações necessárias à facilitação dos processos de conexão de usuários, incluídos aqueles que fazem uso da microgeração e minigeração distribuída, conforme regulação da ANEEL.</w:t>
            </w:r>
          </w:p>
        </w:tc>
        <w:tc>
          <w:tcPr>
            <w:tcW w:w="3473" w:type="dxa"/>
            <w:tcBorders>
              <w:top w:val="single" w:sz="3" w:space="0" w:color="000000"/>
              <w:left w:val="single" w:sz="3" w:space="0" w:color="000000"/>
              <w:bottom w:val="single" w:sz="3" w:space="0" w:color="000000"/>
              <w:right w:val="single" w:sz="3" w:space="0" w:color="000000"/>
            </w:tcBorders>
            <w:vAlign w:val="center"/>
          </w:tcPr>
          <w:p w14:paraId="3948FA56" w14:textId="335C1BD1" w:rsidR="00541219" w:rsidRDefault="00000000">
            <w:pPr>
              <w:spacing w:after="0"/>
              <w:ind w:left="5" w:firstLine="0"/>
            </w:pPr>
            <w:r>
              <w:t xml:space="preserve">Para que as informações sejam </w:t>
            </w:r>
            <w:r w:rsidR="004E4E94">
              <w:t>atualizadas</w:t>
            </w:r>
            <w:r>
              <w:t xml:space="preserve"> e aderentes com a realidade.</w:t>
            </w:r>
          </w:p>
        </w:tc>
      </w:tr>
      <w:tr w:rsidR="00541219" w14:paraId="762DE3A7"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25B4F18C" w14:textId="77777777" w:rsidR="00541219" w:rsidRDefault="00000000">
            <w:pPr>
              <w:spacing w:after="0"/>
              <w:ind w:left="497" w:right="116" w:firstLine="0"/>
              <w:jc w:val="both"/>
            </w:pPr>
            <w:r>
              <w:rPr>
                <w:sz w:val="7"/>
              </w:rPr>
              <w:t xml:space="preserve">     XVII. promover a digitalização gradual das redes e serviços, inclusive de instrumentos de medição de energia elétrica, conforme diretrizes do Ministério de Minas e Energia ou regulação da ANEEL;</w:t>
            </w:r>
          </w:p>
        </w:tc>
        <w:tc>
          <w:tcPr>
            <w:tcW w:w="6514" w:type="dxa"/>
            <w:gridSpan w:val="2"/>
            <w:vMerge w:val="restart"/>
            <w:tcBorders>
              <w:top w:val="single" w:sz="3" w:space="0" w:color="000000"/>
              <w:left w:val="single" w:sz="3" w:space="0" w:color="000000"/>
              <w:bottom w:val="single" w:sz="3" w:space="0" w:color="000000"/>
              <w:right w:val="nil"/>
            </w:tcBorders>
          </w:tcPr>
          <w:p w14:paraId="29A33B7D" w14:textId="77777777" w:rsidR="00541219" w:rsidRDefault="00000000">
            <w:pPr>
              <w:spacing w:after="0"/>
              <w:ind w:left="5" w:firstLine="0"/>
            </w:pPr>
            <w:r>
              <w:rPr>
                <w:color w:val="FF0000"/>
              </w:rPr>
              <w:t xml:space="preserve"> </w:t>
            </w:r>
          </w:p>
        </w:tc>
      </w:tr>
      <w:tr w:rsidR="00541219" w14:paraId="7E7BE884"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5983752D" w14:textId="77777777" w:rsidR="00541219" w:rsidRDefault="00000000">
            <w:pPr>
              <w:spacing w:after="0"/>
              <w:ind w:left="497" w:firstLine="0"/>
            </w:pPr>
            <w:r>
              <w:rPr>
                <w:sz w:val="7"/>
              </w:rPr>
              <w:t xml:space="preserve">     XVIII. desenvolver ações para a redução da vulnerabilidade e para o aumento da resiliência das redes de distribuição frente a eventos climáticos, conforme regulação da ANEEL;</w:t>
            </w:r>
          </w:p>
        </w:tc>
        <w:tc>
          <w:tcPr>
            <w:tcW w:w="0" w:type="auto"/>
            <w:gridSpan w:val="2"/>
            <w:vMerge/>
            <w:tcBorders>
              <w:top w:val="nil"/>
              <w:left w:val="single" w:sz="3" w:space="0" w:color="000000"/>
              <w:bottom w:val="nil"/>
              <w:right w:val="nil"/>
            </w:tcBorders>
          </w:tcPr>
          <w:p w14:paraId="233334C3" w14:textId="77777777" w:rsidR="00541219" w:rsidRDefault="00541219">
            <w:pPr>
              <w:spacing w:after="160"/>
              <w:ind w:left="0" w:firstLine="0"/>
            </w:pPr>
          </w:p>
        </w:tc>
      </w:tr>
      <w:tr w:rsidR="00541219" w14:paraId="3166A69F"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7293FB53" w14:textId="77777777" w:rsidR="00541219" w:rsidRDefault="00000000">
            <w:pPr>
              <w:spacing w:after="0"/>
              <w:ind w:left="497" w:firstLine="0"/>
            </w:pPr>
            <w:r>
              <w:rPr>
                <w:sz w:val="7"/>
              </w:rPr>
              <w:t xml:space="preserve">     XIX. desenvolver ações para robustecer o nível de atendimento do serviço de eletricidade das áreas rurais, especialmente nas regiões com potencial para o agronegócio e a agricultura familiar, conforme regulação da ANEEL;</w:t>
            </w:r>
          </w:p>
        </w:tc>
        <w:tc>
          <w:tcPr>
            <w:tcW w:w="0" w:type="auto"/>
            <w:gridSpan w:val="2"/>
            <w:vMerge/>
            <w:tcBorders>
              <w:top w:val="nil"/>
              <w:left w:val="single" w:sz="3" w:space="0" w:color="000000"/>
              <w:bottom w:val="nil"/>
              <w:right w:val="nil"/>
            </w:tcBorders>
          </w:tcPr>
          <w:p w14:paraId="321D843B" w14:textId="77777777" w:rsidR="00541219" w:rsidRDefault="00541219">
            <w:pPr>
              <w:spacing w:after="160"/>
              <w:ind w:left="0" w:firstLine="0"/>
            </w:pPr>
          </w:p>
        </w:tc>
      </w:tr>
      <w:tr w:rsidR="00541219" w14:paraId="3A5CC99E" w14:textId="77777777">
        <w:trPr>
          <w:trHeight w:val="365"/>
        </w:trPr>
        <w:tc>
          <w:tcPr>
            <w:tcW w:w="3727" w:type="dxa"/>
            <w:tcBorders>
              <w:top w:val="single" w:sz="3" w:space="0" w:color="000000"/>
              <w:left w:val="single" w:sz="3" w:space="0" w:color="000000"/>
              <w:bottom w:val="single" w:sz="3" w:space="0" w:color="000000"/>
              <w:right w:val="single" w:sz="3" w:space="0" w:color="000000"/>
            </w:tcBorders>
          </w:tcPr>
          <w:p w14:paraId="4A12FDC6" w14:textId="77777777" w:rsidR="00541219" w:rsidRDefault="00000000">
            <w:pPr>
              <w:spacing w:after="0"/>
              <w:ind w:left="497" w:right="2" w:firstLine="0"/>
            </w:pPr>
            <w:r>
              <w:rPr>
                <w:sz w:val="7"/>
              </w:rPr>
              <w:t xml:space="preserve">     XX. desenvolver ações que promovam a inclusão energética, a redução de perdas não técnicas, a regularização da prestação do serviço público em áreas de vulnerabilidade socioeconômica e o desenvolvimento tecnológico para a redução da pobreza energética, conforme diretriz do Ministério de Minas e Energia;</w:t>
            </w:r>
          </w:p>
        </w:tc>
        <w:tc>
          <w:tcPr>
            <w:tcW w:w="0" w:type="auto"/>
            <w:gridSpan w:val="2"/>
            <w:vMerge/>
            <w:tcBorders>
              <w:top w:val="nil"/>
              <w:left w:val="single" w:sz="3" w:space="0" w:color="000000"/>
              <w:bottom w:val="nil"/>
              <w:right w:val="nil"/>
            </w:tcBorders>
          </w:tcPr>
          <w:p w14:paraId="559E70DE" w14:textId="77777777" w:rsidR="00541219" w:rsidRDefault="00541219">
            <w:pPr>
              <w:spacing w:after="160"/>
              <w:ind w:left="0" w:firstLine="0"/>
            </w:pPr>
          </w:p>
        </w:tc>
      </w:tr>
      <w:tr w:rsidR="00541219" w14:paraId="31F58EDD"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14AF8B7E" w14:textId="77777777" w:rsidR="00541219" w:rsidRDefault="00000000">
            <w:pPr>
              <w:spacing w:after="0"/>
              <w:ind w:left="497" w:firstLine="0"/>
              <w:jc w:val="both"/>
            </w:pPr>
            <w:r>
              <w:rPr>
                <w:sz w:val="7"/>
              </w:rPr>
              <w:t xml:space="preserve">     XXI. criar e manter em sua área de concessão o Conselho de Consumidores, observada a legislação e a regulação da ANEEL; </w:t>
            </w:r>
          </w:p>
        </w:tc>
        <w:tc>
          <w:tcPr>
            <w:tcW w:w="0" w:type="auto"/>
            <w:gridSpan w:val="2"/>
            <w:vMerge/>
            <w:tcBorders>
              <w:top w:val="nil"/>
              <w:left w:val="single" w:sz="3" w:space="0" w:color="000000"/>
              <w:bottom w:val="nil"/>
              <w:right w:val="nil"/>
            </w:tcBorders>
          </w:tcPr>
          <w:p w14:paraId="2D871320" w14:textId="77777777" w:rsidR="00541219" w:rsidRDefault="00541219">
            <w:pPr>
              <w:spacing w:after="160"/>
              <w:ind w:left="0" w:firstLine="0"/>
            </w:pPr>
          </w:p>
        </w:tc>
      </w:tr>
      <w:tr w:rsidR="00541219" w14:paraId="6954F869"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34767EC4" w14:textId="77777777" w:rsidR="00541219" w:rsidRDefault="00000000">
            <w:pPr>
              <w:spacing w:after="0"/>
              <w:ind w:left="497" w:firstLine="0"/>
            </w:pPr>
            <w:r>
              <w:rPr>
                <w:sz w:val="7"/>
              </w:rPr>
              <w:t xml:space="preserve">     XXII. promover a capacitação de profissionais da área de concessão, incluindo critérios de diversidade e condições socioeconômicas;</w:t>
            </w:r>
          </w:p>
        </w:tc>
        <w:tc>
          <w:tcPr>
            <w:tcW w:w="0" w:type="auto"/>
            <w:gridSpan w:val="2"/>
            <w:vMerge/>
            <w:tcBorders>
              <w:top w:val="nil"/>
              <w:left w:val="single" w:sz="3" w:space="0" w:color="000000"/>
              <w:bottom w:val="nil"/>
              <w:right w:val="nil"/>
            </w:tcBorders>
          </w:tcPr>
          <w:p w14:paraId="40E9EDCF" w14:textId="77777777" w:rsidR="00541219" w:rsidRDefault="00541219">
            <w:pPr>
              <w:spacing w:after="160"/>
              <w:ind w:left="0" w:firstLine="0"/>
            </w:pPr>
          </w:p>
        </w:tc>
      </w:tr>
      <w:tr w:rsidR="00541219" w14:paraId="3F5974F6"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7BCAC8A8" w14:textId="77777777" w:rsidR="00541219" w:rsidRDefault="00000000">
            <w:pPr>
              <w:spacing w:after="0"/>
              <w:ind w:left="497" w:firstLine="0"/>
              <w:jc w:val="both"/>
            </w:pPr>
            <w:r>
              <w:rPr>
                <w:sz w:val="7"/>
              </w:rPr>
              <w:t xml:space="preserve">     XXIII. estabelecer mecanismos de transparência salarial e de critérios remuneratórios para a realização de trabalho de igual valor ou no exercício da mesma função;</w:t>
            </w:r>
          </w:p>
        </w:tc>
        <w:tc>
          <w:tcPr>
            <w:tcW w:w="0" w:type="auto"/>
            <w:gridSpan w:val="2"/>
            <w:vMerge/>
            <w:tcBorders>
              <w:top w:val="nil"/>
              <w:left w:val="single" w:sz="3" w:space="0" w:color="000000"/>
              <w:bottom w:val="nil"/>
              <w:right w:val="nil"/>
            </w:tcBorders>
          </w:tcPr>
          <w:p w14:paraId="2D80C02E" w14:textId="77777777" w:rsidR="00541219" w:rsidRDefault="00541219">
            <w:pPr>
              <w:spacing w:after="160"/>
              <w:ind w:left="0" w:firstLine="0"/>
            </w:pPr>
          </w:p>
        </w:tc>
      </w:tr>
      <w:tr w:rsidR="00541219" w14:paraId="41D9C266"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65E8C972" w14:textId="77777777" w:rsidR="00541219" w:rsidRDefault="00000000">
            <w:pPr>
              <w:spacing w:after="0"/>
              <w:ind w:left="497" w:firstLine="0"/>
            </w:pPr>
            <w:r>
              <w:rPr>
                <w:sz w:val="7"/>
              </w:rPr>
              <w:t xml:space="preserve">     XXIV. promover e implementar programas de diversidade e inclusão no ambiente de trabalho, definindo metas na busca de equidade de raça e gênero em todos os níveis da empresa;</w:t>
            </w:r>
          </w:p>
        </w:tc>
        <w:tc>
          <w:tcPr>
            <w:tcW w:w="0" w:type="auto"/>
            <w:gridSpan w:val="2"/>
            <w:vMerge/>
            <w:tcBorders>
              <w:top w:val="nil"/>
              <w:left w:val="single" w:sz="3" w:space="0" w:color="000000"/>
              <w:bottom w:val="nil"/>
              <w:right w:val="nil"/>
            </w:tcBorders>
          </w:tcPr>
          <w:p w14:paraId="2E851094" w14:textId="77777777" w:rsidR="00541219" w:rsidRDefault="00541219">
            <w:pPr>
              <w:spacing w:after="160"/>
              <w:ind w:left="0" w:firstLine="0"/>
            </w:pPr>
          </w:p>
        </w:tc>
      </w:tr>
      <w:tr w:rsidR="00541219" w14:paraId="2343E03F" w14:textId="77777777">
        <w:trPr>
          <w:trHeight w:val="365"/>
        </w:trPr>
        <w:tc>
          <w:tcPr>
            <w:tcW w:w="3727" w:type="dxa"/>
            <w:tcBorders>
              <w:top w:val="single" w:sz="3" w:space="0" w:color="000000"/>
              <w:left w:val="single" w:sz="3" w:space="0" w:color="000000"/>
              <w:bottom w:val="single" w:sz="3" w:space="0" w:color="000000"/>
              <w:right w:val="single" w:sz="3" w:space="0" w:color="000000"/>
            </w:tcBorders>
          </w:tcPr>
          <w:p w14:paraId="5A03AB94" w14:textId="77777777" w:rsidR="00541219" w:rsidRDefault="00000000">
            <w:pPr>
              <w:spacing w:after="0"/>
              <w:ind w:left="497" w:firstLine="0"/>
            </w:pPr>
            <w:r>
              <w:rPr>
                <w:sz w:val="7"/>
              </w:rPr>
              <w:t xml:space="preserve">     XXV. aderir ao conceito de trabalho decente estabelecido pela Organização Internacional do Trabalho – OIT e promovê-lo para toda a força de trabalho utilizada pela DISTRIBUIDORA, com vistas ao trabalho produtivo e de qualidade, em condições de liberdade, equidade, segurança e dignidade humana;</w:t>
            </w:r>
          </w:p>
        </w:tc>
        <w:tc>
          <w:tcPr>
            <w:tcW w:w="0" w:type="auto"/>
            <w:gridSpan w:val="2"/>
            <w:vMerge/>
            <w:tcBorders>
              <w:top w:val="nil"/>
              <w:left w:val="single" w:sz="3" w:space="0" w:color="000000"/>
              <w:bottom w:val="nil"/>
              <w:right w:val="nil"/>
            </w:tcBorders>
          </w:tcPr>
          <w:p w14:paraId="59DA3584" w14:textId="77777777" w:rsidR="00541219" w:rsidRDefault="00541219">
            <w:pPr>
              <w:spacing w:after="160"/>
              <w:ind w:left="0" w:firstLine="0"/>
            </w:pPr>
          </w:p>
        </w:tc>
      </w:tr>
      <w:tr w:rsidR="00541219" w14:paraId="10DD9AC0"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7DFE9BD0" w14:textId="77777777" w:rsidR="00541219" w:rsidRDefault="00000000">
            <w:pPr>
              <w:spacing w:after="0"/>
              <w:ind w:left="497" w:firstLine="0"/>
            </w:pPr>
            <w:r>
              <w:rPr>
                <w:sz w:val="7"/>
              </w:rPr>
              <w:t xml:space="preserve">     XXVI. zelar pela qualidade dos dados e informações produzidas, atinentes à prestação do serviço público de distribuição, enviadas à ANEEL e aquelas disponibilizadas ao público em geral;</w:t>
            </w:r>
          </w:p>
        </w:tc>
        <w:tc>
          <w:tcPr>
            <w:tcW w:w="0" w:type="auto"/>
            <w:gridSpan w:val="2"/>
            <w:vMerge/>
            <w:tcBorders>
              <w:top w:val="nil"/>
              <w:left w:val="single" w:sz="3" w:space="0" w:color="000000"/>
              <w:bottom w:val="nil"/>
              <w:right w:val="nil"/>
            </w:tcBorders>
          </w:tcPr>
          <w:p w14:paraId="2BAC6CFB" w14:textId="77777777" w:rsidR="00541219" w:rsidRDefault="00541219">
            <w:pPr>
              <w:spacing w:after="160"/>
              <w:ind w:left="0" w:firstLine="0"/>
            </w:pPr>
          </w:p>
        </w:tc>
      </w:tr>
      <w:tr w:rsidR="00541219" w14:paraId="07BAE906"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208668C1" w14:textId="77777777" w:rsidR="00541219" w:rsidRDefault="00000000">
            <w:pPr>
              <w:spacing w:after="0"/>
              <w:ind w:left="497" w:firstLine="0"/>
            </w:pPr>
            <w:r>
              <w:rPr>
                <w:sz w:val="7"/>
              </w:rPr>
              <w:t xml:space="preserve">     XXVII. cumprir os padrões relativos à efetividade do Serviço de Atendimento – SAC e à resolutividade das reclamações na ANEEL, na plataforma consumidor.gov.br, ou outra que vier a substitui-la e nos demais canais, conforme regulação da ANEEL.</w:t>
            </w:r>
          </w:p>
        </w:tc>
        <w:tc>
          <w:tcPr>
            <w:tcW w:w="0" w:type="auto"/>
            <w:gridSpan w:val="2"/>
            <w:vMerge/>
            <w:tcBorders>
              <w:top w:val="nil"/>
              <w:left w:val="single" w:sz="3" w:space="0" w:color="000000"/>
              <w:bottom w:val="nil"/>
              <w:right w:val="nil"/>
            </w:tcBorders>
          </w:tcPr>
          <w:p w14:paraId="5F6D8602" w14:textId="77777777" w:rsidR="00541219" w:rsidRDefault="00541219">
            <w:pPr>
              <w:spacing w:after="160"/>
              <w:ind w:left="0" w:firstLine="0"/>
            </w:pPr>
          </w:p>
        </w:tc>
      </w:tr>
      <w:tr w:rsidR="00541219" w14:paraId="76C931C9" w14:textId="77777777">
        <w:trPr>
          <w:trHeight w:val="365"/>
        </w:trPr>
        <w:tc>
          <w:tcPr>
            <w:tcW w:w="3727" w:type="dxa"/>
            <w:tcBorders>
              <w:top w:val="single" w:sz="3" w:space="0" w:color="000000"/>
              <w:left w:val="single" w:sz="3" w:space="0" w:color="000000"/>
              <w:bottom w:val="single" w:sz="3" w:space="0" w:color="000000"/>
              <w:right w:val="single" w:sz="3" w:space="0" w:color="000000"/>
            </w:tcBorders>
          </w:tcPr>
          <w:p w14:paraId="288A4D0B" w14:textId="77777777" w:rsidR="00541219" w:rsidRDefault="00000000">
            <w:pPr>
              <w:spacing w:after="0"/>
              <w:ind w:left="497" w:right="4" w:firstLine="0"/>
            </w:pPr>
            <w:r>
              <w:rPr>
                <w:sz w:val="7"/>
              </w:rPr>
              <w:t xml:space="preserve">     XXVIII. Para as áreas de concessão com relevante presença de áreas com severas restrições ao combate às perdas de energia e à inadimplência a DISTRIBUIDORA deverá manter plano para atuação no combate às perdas de energia, sujeito à fiscalização da Aneel, e cujo desempenho deverá ser refletido nos níveis regulatórios de perdas e receitas irrecuperáveis.</w:t>
            </w:r>
          </w:p>
        </w:tc>
        <w:tc>
          <w:tcPr>
            <w:tcW w:w="0" w:type="auto"/>
            <w:gridSpan w:val="2"/>
            <w:vMerge/>
            <w:tcBorders>
              <w:top w:val="nil"/>
              <w:left w:val="single" w:sz="3" w:space="0" w:color="000000"/>
              <w:bottom w:val="nil"/>
              <w:right w:val="nil"/>
            </w:tcBorders>
          </w:tcPr>
          <w:p w14:paraId="5CBA6BDF" w14:textId="77777777" w:rsidR="00541219" w:rsidRDefault="00541219">
            <w:pPr>
              <w:spacing w:after="160"/>
              <w:ind w:left="0" w:firstLine="0"/>
            </w:pPr>
          </w:p>
        </w:tc>
      </w:tr>
      <w:tr w:rsidR="00541219" w14:paraId="763D8492"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1F87DBD1" w14:textId="77777777" w:rsidR="00541219" w:rsidRDefault="00000000">
            <w:pPr>
              <w:spacing w:after="0"/>
              <w:ind w:left="0" w:firstLine="0"/>
              <w:jc w:val="both"/>
            </w:pPr>
            <w:r>
              <w:rPr>
                <w:sz w:val="7"/>
              </w:rPr>
              <w:t>Subcláusula Primeira – Compete à DISTRIBUIDORA captar, aplicar e gerir os recursos financeiros necessários à adequada prestação do serviço público de distribuição de energia elétrica regulado neste CONTRATO.</w:t>
            </w:r>
          </w:p>
        </w:tc>
        <w:tc>
          <w:tcPr>
            <w:tcW w:w="0" w:type="auto"/>
            <w:gridSpan w:val="2"/>
            <w:vMerge/>
            <w:tcBorders>
              <w:top w:val="nil"/>
              <w:left w:val="single" w:sz="3" w:space="0" w:color="000000"/>
              <w:bottom w:val="nil"/>
              <w:right w:val="nil"/>
            </w:tcBorders>
          </w:tcPr>
          <w:p w14:paraId="3A0894B4" w14:textId="77777777" w:rsidR="00541219" w:rsidRDefault="00541219">
            <w:pPr>
              <w:spacing w:after="160"/>
              <w:ind w:left="0" w:firstLine="0"/>
            </w:pPr>
          </w:p>
        </w:tc>
      </w:tr>
      <w:tr w:rsidR="00541219" w14:paraId="77F12522"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3113C44F" w14:textId="77777777" w:rsidR="00541219" w:rsidRDefault="00000000">
            <w:pPr>
              <w:spacing w:after="0"/>
              <w:ind w:left="0" w:right="224" w:firstLine="0"/>
              <w:jc w:val="both"/>
            </w:pPr>
            <w:r>
              <w:rPr>
                <w:sz w:val="7"/>
              </w:rPr>
              <w:t>Subcláusula Segunda – A DISTRIBUIDORA fica obrigada a aplicar, conforme estabelecido pelas normas vigentes, os percentuais da receita operacional líquida em pesquisa, desenvolvimento e inovação do setor elétrico e em eficiência energética.</w:t>
            </w:r>
          </w:p>
        </w:tc>
        <w:tc>
          <w:tcPr>
            <w:tcW w:w="0" w:type="auto"/>
            <w:gridSpan w:val="2"/>
            <w:vMerge/>
            <w:tcBorders>
              <w:top w:val="nil"/>
              <w:left w:val="single" w:sz="3" w:space="0" w:color="000000"/>
              <w:bottom w:val="single" w:sz="3" w:space="0" w:color="000000"/>
              <w:right w:val="nil"/>
            </w:tcBorders>
          </w:tcPr>
          <w:p w14:paraId="5E5EDA7F" w14:textId="77777777" w:rsidR="00541219" w:rsidRDefault="00541219">
            <w:pPr>
              <w:spacing w:after="160"/>
              <w:ind w:left="0" w:firstLine="0"/>
            </w:pPr>
          </w:p>
        </w:tc>
      </w:tr>
      <w:tr w:rsidR="00541219" w14:paraId="35327EFD" w14:textId="77777777">
        <w:trPr>
          <w:trHeight w:val="862"/>
        </w:trPr>
        <w:tc>
          <w:tcPr>
            <w:tcW w:w="3727" w:type="dxa"/>
            <w:tcBorders>
              <w:top w:val="single" w:sz="3" w:space="0" w:color="000000"/>
              <w:left w:val="single" w:sz="3" w:space="0" w:color="000000"/>
              <w:bottom w:val="single" w:sz="3" w:space="0" w:color="000000"/>
              <w:right w:val="single" w:sz="3" w:space="0" w:color="000000"/>
            </w:tcBorders>
            <w:vAlign w:val="center"/>
          </w:tcPr>
          <w:p w14:paraId="792A71E0" w14:textId="77777777" w:rsidR="00541219" w:rsidRDefault="00000000">
            <w:pPr>
              <w:spacing w:after="0"/>
              <w:ind w:left="0" w:firstLine="0"/>
            </w:pPr>
            <w:r>
              <w:rPr>
                <w:sz w:val="7"/>
              </w:rPr>
              <w:t>Subcláusula Terceira – Na contratação de serviços e na aquisição de materiais e equipamentos vinculados ao serviço objeto deste CONTRATO, a DISTRIBUIDORA deverá considerar ofertas de fornecedores nacionais atuantes no respectivo segmento e, nos casos em que haja equivalência entre as ofertas, em termos de preço, prazo de entrega e atendimento às especificações técnicas, obriga-se a assegurar preferência a empresas constituídas sob as leis brasileiras e com sede e administração no País.</w:t>
            </w:r>
          </w:p>
        </w:tc>
        <w:tc>
          <w:tcPr>
            <w:tcW w:w="3041" w:type="dxa"/>
            <w:tcBorders>
              <w:top w:val="single" w:sz="3" w:space="0" w:color="000000"/>
              <w:left w:val="single" w:sz="3" w:space="0" w:color="000000"/>
              <w:bottom w:val="single" w:sz="3" w:space="0" w:color="000000"/>
              <w:right w:val="single" w:sz="3" w:space="0" w:color="000000"/>
            </w:tcBorders>
          </w:tcPr>
          <w:p w14:paraId="6C5F8733" w14:textId="77777777" w:rsidR="00541219" w:rsidRDefault="00000000">
            <w:pPr>
              <w:spacing w:after="0" w:line="258" w:lineRule="auto"/>
              <w:ind w:left="5" w:firstLine="0"/>
            </w:pPr>
            <w:r>
              <w:t xml:space="preserve">Na contratação de serviços e na aquisição de materiais e equipamentos vinculados ao serviço objeto deste CONTRATO, a DISTRIBUIDORA deverá </w:t>
            </w:r>
          </w:p>
          <w:p w14:paraId="27D28DDD" w14:textId="77777777" w:rsidR="00541219" w:rsidRDefault="00000000">
            <w:pPr>
              <w:spacing w:after="0"/>
              <w:ind w:left="5" w:right="21" w:firstLine="0"/>
            </w:pPr>
            <w:r>
              <w:t xml:space="preserve">considerar ofertas de fornecedores </w:t>
            </w:r>
            <w:r>
              <w:rPr>
                <w:color w:val="FF0000"/>
              </w:rPr>
              <w:t xml:space="preserve">locais e </w:t>
            </w:r>
            <w:r>
              <w:t>nacionais atuantes no respectivo segmento e, nos casos em que haja equivalência entre as ofertas, em termos de preço, prazo de entrega e atendimento às especificações técnicas, obriga-se a assegurar preferência a empresas constituídas sob as leis brasileiras e com sede e administração no País.</w:t>
            </w:r>
          </w:p>
        </w:tc>
        <w:tc>
          <w:tcPr>
            <w:tcW w:w="3473" w:type="dxa"/>
            <w:tcBorders>
              <w:top w:val="single" w:sz="3" w:space="0" w:color="000000"/>
              <w:left w:val="single" w:sz="3" w:space="0" w:color="000000"/>
              <w:bottom w:val="single" w:sz="3" w:space="0" w:color="000000"/>
              <w:right w:val="single" w:sz="3" w:space="0" w:color="000000"/>
            </w:tcBorders>
            <w:vAlign w:val="center"/>
          </w:tcPr>
          <w:p w14:paraId="53992523" w14:textId="77777777" w:rsidR="00541219" w:rsidRDefault="00000000" w:rsidP="00AA12E6">
            <w:pPr>
              <w:spacing w:after="0"/>
              <w:ind w:left="5" w:firstLine="0"/>
              <w:jc w:val="both"/>
            </w:pPr>
            <w:r>
              <w:t>Para garantir que as empresas locais (em toda área de concessão) possam também participar das licitações realizadas pela distribuidora.</w:t>
            </w:r>
          </w:p>
        </w:tc>
      </w:tr>
    </w:tbl>
    <w:p w14:paraId="6D3E907E" w14:textId="77777777" w:rsidR="00541219" w:rsidRDefault="00541219">
      <w:pPr>
        <w:spacing w:after="0"/>
        <w:ind w:left="-1440" w:right="8527" w:firstLine="0"/>
      </w:pPr>
    </w:p>
    <w:tbl>
      <w:tblPr>
        <w:tblStyle w:val="TableGrid"/>
        <w:tblW w:w="10240" w:type="dxa"/>
        <w:tblInd w:w="-688" w:type="dxa"/>
        <w:tblCellMar>
          <w:top w:w="0" w:type="dxa"/>
          <w:left w:w="19" w:type="dxa"/>
          <w:bottom w:w="0" w:type="dxa"/>
          <w:right w:w="20" w:type="dxa"/>
        </w:tblCellMar>
        <w:tblLook w:val="04A0" w:firstRow="1" w:lastRow="0" w:firstColumn="1" w:lastColumn="0" w:noHBand="0" w:noVBand="1"/>
      </w:tblPr>
      <w:tblGrid>
        <w:gridCol w:w="3726"/>
        <w:gridCol w:w="3041"/>
        <w:gridCol w:w="3473"/>
      </w:tblGrid>
      <w:tr w:rsidR="00541219" w14:paraId="12A2AEC9" w14:textId="77777777">
        <w:trPr>
          <w:trHeight w:val="145"/>
        </w:trPr>
        <w:tc>
          <w:tcPr>
            <w:tcW w:w="10240" w:type="dxa"/>
            <w:gridSpan w:val="3"/>
            <w:tcBorders>
              <w:top w:val="single" w:sz="6" w:space="0" w:color="000000"/>
              <w:left w:val="single" w:sz="6" w:space="0" w:color="000000"/>
              <w:bottom w:val="single" w:sz="3" w:space="0" w:color="000000"/>
              <w:right w:val="single" w:sz="6" w:space="0" w:color="000000"/>
            </w:tcBorders>
          </w:tcPr>
          <w:p w14:paraId="143A10C9" w14:textId="77777777" w:rsidR="00541219" w:rsidRDefault="00000000">
            <w:pPr>
              <w:spacing w:after="0"/>
              <w:ind w:left="16" w:firstLine="0"/>
              <w:jc w:val="center"/>
            </w:pPr>
            <w:r>
              <w:rPr>
                <w:color w:val="0000FF"/>
                <w:sz w:val="12"/>
              </w:rPr>
              <w:t>CONTRIBUIÇÃO REFERENTE À CONSULTA PÚBLICA Nº 27/2024</w:t>
            </w:r>
          </w:p>
        </w:tc>
      </w:tr>
      <w:tr w:rsidR="00541219" w14:paraId="665ABBA8" w14:textId="77777777">
        <w:trPr>
          <w:trHeight w:val="144"/>
        </w:trPr>
        <w:tc>
          <w:tcPr>
            <w:tcW w:w="10240" w:type="dxa"/>
            <w:gridSpan w:val="3"/>
            <w:tcBorders>
              <w:top w:val="single" w:sz="3" w:space="0" w:color="000000"/>
              <w:left w:val="single" w:sz="6" w:space="0" w:color="000000"/>
              <w:bottom w:val="single" w:sz="3" w:space="0" w:color="000000"/>
              <w:right w:val="single" w:sz="6" w:space="0" w:color="000000"/>
            </w:tcBorders>
          </w:tcPr>
          <w:p w14:paraId="06181E9A" w14:textId="42CC4B68" w:rsidR="00541219" w:rsidRDefault="00000000">
            <w:pPr>
              <w:spacing w:after="0"/>
              <w:ind w:left="2" w:firstLine="0"/>
              <w:jc w:val="center"/>
            </w:pPr>
            <w:r>
              <w:rPr>
                <w:color w:val="0000FF"/>
                <w:sz w:val="12"/>
              </w:rPr>
              <w:t xml:space="preserve">NOME DA INSTITUIÇÃO: </w:t>
            </w:r>
            <w:r w:rsidR="006F6AA4">
              <w:rPr>
                <w:color w:val="0000FF"/>
                <w:sz w:val="12"/>
              </w:rPr>
              <w:t>Conselho de Consumidores da Área de Concessão da Energisa no Mato Grosso do Sul – CONCEN-MS</w:t>
            </w:r>
          </w:p>
        </w:tc>
      </w:tr>
      <w:tr w:rsidR="00541219" w14:paraId="7CE609E5" w14:textId="77777777">
        <w:trPr>
          <w:trHeight w:val="144"/>
        </w:trPr>
        <w:tc>
          <w:tcPr>
            <w:tcW w:w="10240" w:type="dxa"/>
            <w:gridSpan w:val="3"/>
            <w:tcBorders>
              <w:top w:val="single" w:sz="3" w:space="0" w:color="000000"/>
              <w:left w:val="single" w:sz="6" w:space="0" w:color="000000"/>
              <w:bottom w:val="single" w:sz="3" w:space="0" w:color="000000"/>
              <w:right w:val="single" w:sz="6" w:space="0" w:color="000000"/>
            </w:tcBorders>
          </w:tcPr>
          <w:p w14:paraId="41DE0156" w14:textId="77777777" w:rsidR="00541219" w:rsidRDefault="00000000">
            <w:pPr>
              <w:tabs>
                <w:tab w:val="center" w:pos="728"/>
                <w:tab w:val="center" w:pos="5110"/>
              </w:tabs>
              <w:spacing w:after="0"/>
              <w:ind w:left="0" w:firstLine="0"/>
            </w:pPr>
            <w:r>
              <w:rPr>
                <w:rFonts w:ascii="Calibri" w:eastAsia="Calibri" w:hAnsi="Calibri" w:cs="Calibri"/>
                <w:sz w:val="22"/>
              </w:rPr>
              <w:tab/>
            </w:r>
            <w:r>
              <w:rPr>
                <w:noProof/>
              </w:rPr>
              <w:drawing>
                <wp:inline distT="0" distB="0" distL="0" distR="0" wp14:anchorId="206C52D6" wp14:editId="76B2AB77">
                  <wp:extent cx="559308" cy="344424"/>
                  <wp:effectExtent l="0" t="0" r="0" b="0"/>
                  <wp:docPr id="5837" name="Picture 5837"/>
                  <wp:cNvGraphicFramePr/>
                  <a:graphic xmlns:a="http://schemas.openxmlformats.org/drawingml/2006/main">
                    <a:graphicData uri="http://schemas.openxmlformats.org/drawingml/2006/picture">
                      <pic:pic xmlns:pic="http://schemas.openxmlformats.org/drawingml/2006/picture">
                        <pic:nvPicPr>
                          <pic:cNvPr id="5837" name="Picture 5837"/>
                          <pic:cNvPicPr/>
                        </pic:nvPicPr>
                        <pic:blipFill>
                          <a:blip r:embed="rId5"/>
                          <a:stretch>
                            <a:fillRect/>
                          </a:stretch>
                        </pic:blipFill>
                        <pic:spPr>
                          <a:xfrm>
                            <a:off x="0" y="0"/>
                            <a:ext cx="559308" cy="344424"/>
                          </a:xfrm>
                          <a:prstGeom prst="rect">
                            <a:avLst/>
                          </a:prstGeom>
                        </pic:spPr>
                      </pic:pic>
                    </a:graphicData>
                  </a:graphic>
                </wp:inline>
              </w:drawing>
            </w:r>
            <w:r>
              <w:rPr>
                <w:color w:val="0000FF"/>
                <w:sz w:val="12"/>
              </w:rPr>
              <w:tab/>
              <w:t>AGÊNCIA NACIONAL DE ENERGIA ELÉTRICA – ANEEL</w:t>
            </w:r>
          </w:p>
        </w:tc>
      </w:tr>
      <w:tr w:rsidR="00541219" w14:paraId="1B023022" w14:textId="77777777">
        <w:trPr>
          <w:trHeight w:val="173"/>
        </w:trPr>
        <w:tc>
          <w:tcPr>
            <w:tcW w:w="10240" w:type="dxa"/>
            <w:gridSpan w:val="3"/>
            <w:tcBorders>
              <w:top w:val="single" w:sz="3" w:space="0" w:color="000000"/>
              <w:left w:val="single" w:sz="6" w:space="0" w:color="000000"/>
              <w:bottom w:val="single" w:sz="3" w:space="0" w:color="000000"/>
              <w:right w:val="single" w:sz="6" w:space="0" w:color="000000"/>
            </w:tcBorders>
          </w:tcPr>
          <w:p w14:paraId="2016853D" w14:textId="77777777" w:rsidR="00541219" w:rsidRDefault="00000000">
            <w:pPr>
              <w:spacing w:after="0"/>
              <w:ind w:left="14" w:firstLine="0"/>
              <w:jc w:val="center"/>
            </w:pPr>
            <w:r>
              <w:rPr>
                <w:color w:val="0000FF"/>
              </w:rPr>
              <w:t>ATO REGULATÓRIO: TERMO ADITIVO AO CONTRATO DE CONCESSÃO DE SERVIÇO PÚBLICO DE DISTRIBUIÇÃO DE ENERGIA ELÉTRICA No XX/XX-ANEEL</w:t>
            </w:r>
          </w:p>
        </w:tc>
      </w:tr>
      <w:tr w:rsidR="00541219" w14:paraId="36A528EC" w14:textId="77777777">
        <w:trPr>
          <w:trHeight w:val="187"/>
        </w:trPr>
        <w:tc>
          <w:tcPr>
            <w:tcW w:w="10240" w:type="dxa"/>
            <w:gridSpan w:val="3"/>
            <w:tcBorders>
              <w:top w:val="single" w:sz="3" w:space="0" w:color="000000"/>
              <w:left w:val="single" w:sz="6" w:space="0" w:color="000000"/>
              <w:bottom w:val="single" w:sz="3" w:space="0" w:color="000000"/>
              <w:right w:val="single" w:sz="6" w:space="0" w:color="000000"/>
            </w:tcBorders>
          </w:tcPr>
          <w:p w14:paraId="3DFD39F4" w14:textId="77777777" w:rsidR="00541219" w:rsidRDefault="00000000">
            <w:pPr>
              <w:spacing w:after="0"/>
              <w:ind w:left="4" w:firstLine="0"/>
              <w:jc w:val="center"/>
            </w:pPr>
            <w:r>
              <w:rPr>
                <w:color w:val="0000FF"/>
              </w:rPr>
              <w:t xml:space="preserve">                                                               EMENTA: Obter subsídios para o aprimoramento da minuta de termo aditivo ao contrato de concessão de distribuição de energia elétrica com vistas à prorrogação das concessões.</w:t>
            </w:r>
          </w:p>
        </w:tc>
      </w:tr>
      <w:tr w:rsidR="00541219" w14:paraId="502531AC" w14:textId="77777777">
        <w:trPr>
          <w:trHeight w:val="130"/>
        </w:trPr>
        <w:tc>
          <w:tcPr>
            <w:tcW w:w="10240" w:type="dxa"/>
            <w:gridSpan w:val="3"/>
            <w:tcBorders>
              <w:top w:val="single" w:sz="3" w:space="0" w:color="000000"/>
              <w:left w:val="single" w:sz="6" w:space="0" w:color="000000"/>
              <w:bottom w:val="single" w:sz="3" w:space="0" w:color="000000"/>
              <w:right w:val="single" w:sz="6" w:space="0" w:color="000000"/>
            </w:tcBorders>
          </w:tcPr>
          <w:p w14:paraId="791FB30F" w14:textId="77777777" w:rsidR="00541219" w:rsidRDefault="00000000">
            <w:pPr>
              <w:spacing w:after="0"/>
              <w:ind w:left="0" w:firstLine="0"/>
              <w:jc w:val="center"/>
            </w:pPr>
            <w:r>
              <w:rPr>
                <w:color w:val="0000FF"/>
                <w:sz w:val="10"/>
              </w:rPr>
              <w:t>CONTRIBUIÇÕES RECEBIDAS</w:t>
            </w:r>
          </w:p>
        </w:tc>
      </w:tr>
      <w:tr w:rsidR="00541219" w14:paraId="24DA5F7B" w14:textId="77777777">
        <w:trPr>
          <w:trHeight w:val="268"/>
        </w:trPr>
        <w:tc>
          <w:tcPr>
            <w:tcW w:w="10240" w:type="dxa"/>
            <w:gridSpan w:val="3"/>
            <w:tcBorders>
              <w:top w:val="single" w:sz="3" w:space="0" w:color="000000"/>
              <w:left w:val="single" w:sz="6" w:space="0" w:color="000000"/>
              <w:bottom w:val="single" w:sz="6" w:space="0" w:color="000000"/>
              <w:right w:val="single" w:sz="6" w:space="0" w:color="000000"/>
            </w:tcBorders>
          </w:tcPr>
          <w:p w14:paraId="3DEF6AA0" w14:textId="77777777" w:rsidR="00541219" w:rsidRDefault="00000000">
            <w:pPr>
              <w:spacing w:after="0"/>
              <w:ind w:left="0" w:firstLine="0"/>
            </w:pPr>
            <w:r>
              <w:t>IMPORTANTE: Os comentários e sugestões referentes às contribuições deverão ser fundamentados e justificados, mencionando-se os artigos, parágrafos e incisos a que se referem, devendo ser acompanhados de textos alternativos e substitutivos quando envolverem sugestões de inclusão ou alteração, parcial ou total, de qualquer dispositivo.</w:t>
            </w:r>
          </w:p>
        </w:tc>
      </w:tr>
      <w:tr w:rsidR="00541219" w14:paraId="3B55B637" w14:textId="77777777">
        <w:trPr>
          <w:trHeight w:val="209"/>
        </w:trPr>
        <w:tc>
          <w:tcPr>
            <w:tcW w:w="3727" w:type="dxa"/>
            <w:tcBorders>
              <w:top w:val="single" w:sz="6" w:space="0" w:color="000000"/>
              <w:left w:val="single" w:sz="6" w:space="0" w:color="000000"/>
              <w:bottom w:val="double" w:sz="4" w:space="0" w:color="000000"/>
              <w:right w:val="single" w:sz="6" w:space="0" w:color="000000"/>
            </w:tcBorders>
            <w:shd w:val="clear" w:color="auto" w:fill="FF0000"/>
          </w:tcPr>
          <w:p w14:paraId="688DC5FA" w14:textId="77777777" w:rsidR="00541219" w:rsidRDefault="00000000">
            <w:pPr>
              <w:spacing w:after="0"/>
              <w:ind w:left="1" w:firstLine="0"/>
              <w:jc w:val="center"/>
            </w:pPr>
            <w:r>
              <w:rPr>
                <w:color w:val="FFFFFF"/>
                <w:sz w:val="10"/>
              </w:rPr>
              <w:t xml:space="preserve">TEXTO/ANEEL </w:t>
            </w:r>
          </w:p>
        </w:tc>
        <w:tc>
          <w:tcPr>
            <w:tcW w:w="3041" w:type="dxa"/>
            <w:tcBorders>
              <w:top w:val="single" w:sz="6" w:space="0" w:color="000000"/>
              <w:left w:val="single" w:sz="6" w:space="0" w:color="000000"/>
              <w:bottom w:val="single" w:sz="6" w:space="0" w:color="000000"/>
              <w:right w:val="single" w:sz="6" w:space="0" w:color="000000"/>
            </w:tcBorders>
            <w:shd w:val="clear" w:color="auto" w:fill="FF0000"/>
          </w:tcPr>
          <w:p w14:paraId="21F0EEEC" w14:textId="77777777" w:rsidR="00541219" w:rsidRDefault="00000000">
            <w:pPr>
              <w:spacing w:after="0"/>
              <w:ind w:left="8" w:firstLine="0"/>
              <w:jc w:val="center"/>
            </w:pPr>
            <w:r>
              <w:rPr>
                <w:color w:val="FFFFFF"/>
                <w:sz w:val="10"/>
              </w:rPr>
              <w:t>TEXTO/INSTITUIÇÃO</w:t>
            </w:r>
          </w:p>
        </w:tc>
        <w:tc>
          <w:tcPr>
            <w:tcW w:w="3473" w:type="dxa"/>
            <w:tcBorders>
              <w:top w:val="single" w:sz="6" w:space="0" w:color="000000"/>
              <w:left w:val="single" w:sz="6" w:space="0" w:color="000000"/>
              <w:bottom w:val="single" w:sz="6" w:space="0" w:color="000000"/>
              <w:right w:val="single" w:sz="6" w:space="0" w:color="000000"/>
            </w:tcBorders>
            <w:shd w:val="clear" w:color="auto" w:fill="FF0000"/>
          </w:tcPr>
          <w:p w14:paraId="330AAB2D" w14:textId="77777777" w:rsidR="00541219" w:rsidRDefault="00000000">
            <w:pPr>
              <w:spacing w:after="0"/>
              <w:ind w:left="4" w:firstLine="0"/>
              <w:jc w:val="center"/>
            </w:pPr>
            <w:r>
              <w:rPr>
                <w:color w:val="FFFFFF"/>
                <w:sz w:val="10"/>
              </w:rPr>
              <w:t>JUSTIFICATIVA/INSTITUIÇÃO</w:t>
            </w:r>
          </w:p>
        </w:tc>
      </w:tr>
      <w:tr w:rsidR="00541219" w14:paraId="07A73CE8" w14:textId="77777777">
        <w:trPr>
          <w:trHeight w:val="285"/>
        </w:trPr>
        <w:tc>
          <w:tcPr>
            <w:tcW w:w="3727" w:type="dxa"/>
            <w:tcBorders>
              <w:top w:val="double" w:sz="4" w:space="0" w:color="000000"/>
              <w:left w:val="single" w:sz="3" w:space="0" w:color="000000"/>
              <w:bottom w:val="single" w:sz="3" w:space="0" w:color="000000"/>
              <w:right w:val="single" w:sz="3" w:space="0" w:color="000000"/>
            </w:tcBorders>
          </w:tcPr>
          <w:p w14:paraId="623C1FCA" w14:textId="77777777" w:rsidR="00541219" w:rsidRDefault="00000000">
            <w:pPr>
              <w:spacing w:after="0"/>
              <w:ind w:left="0" w:firstLine="0"/>
            </w:pPr>
            <w:r>
              <w:rPr>
                <w:sz w:val="7"/>
              </w:rPr>
              <w:t>Subcláusula Quarta – Na execução do serviço concedido, a DISTRIBUIDORA responderá por todos os prejuízos causados ao PODER CONCEDENTE, aos usuários de seus serviços ou a terceiros, sem que a fiscalização exercida pelo órgão competente exclua ou atenue essa responsabilidade.</w:t>
            </w:r>
          </w:p>
        </w:tc>
        <w:tc>
          <w:tcPr>
            <w:tcW w:w="6514" w:type="dxa"/>
            <w:gridSpan w:val="2"/>
            <w:vMerge w:val="restart"/>
            <w:tcBorders>
              <w:top w:val="single" w:sz="6" w:space="0" w:color="000000"/>
              <w:left w:val="single" w:sz="3" w:space="0" w:color="000000"/>
              <w:bottom w:val="single" w:sz="3" w:space="0" w:color="000000"/>
              <w:right w:val="nil"/>
            </w:tcBorders>
          </w:tcPr>
          <w:p w14:paraId="379C70FC" w14:textId="77777777" w:rsidR="00541219" w:rsidRDefault="00541219">
            <w:pPr>
              <w:spacing w:after="160"/>
              <w:ind w:left="0" w:firstLine="0"/>
            </w:pPr>
          </w:p>
        </w:tc>
      </w:tr>
      <w:tr w:rsidR="00541219" w14:paraId="47EB29ED"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35D83D17" w14:textId="77777777" w:rsidR="00541219" w:rsidRDefault="00000000">
            <w:pPr>
              <w:spacing w:after="0"/>
              <w:ind w:left="0" w:firstLine="0"/>
              <w:jc w:val="both"/>
            </w:pPr>
            <w:r>
              <w:rPr>
                <w:sz w:val="7"/>
              </w:rPr>
              <w:t>Subcláusula Quinta – Em relação a custódia dos dados dos usuários, constituem obrigações da DISTRIBUIDORA, observada a legislação e regulação aplicável:</w:t>
            </w:r>
          </w:p>
        </w:tc>
        <w:tc>
          <w:tcPr>
            <w:tcW w:w="0" w:type="auto"/>
            <w:gridSpan w:val="2"/>
            <w:vMerge/>
            <w:tcBorders>
              <w:top w:val="nil"/>
              <w:left w:val="single" w:sz="3" w:space="0" w:color="000000"/>
              <w:bottom w:val="nil"/>
              <w:right w:val="nil"/>
            </w:tcBorders>
          </w:tcPr>
          <w:p w14:paraId="43AC66A9" w14:textId="77777777" w:rsidR="00541219" w:rsidRDefault="00541219">
            <w:pPr>
              <w:spacing w:after="160"/>
              <w:ind w:left="0" w:firstLine="0"/>
            </w:pPr>
          </w:p>
        </w:tc>
      </w:tr>
      <w:tr w:rsidR="00541219" w14:paraId="2CA3E4EF"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23B43C58" w14:textId="77777777" w:rsidR="00541219" w:rsidRDefault="00000000">
            <w:pPr>
              <w:spacing w:after="0"/>
              <w:ind w:left="497" w:firstLine="0"/>
              <w:jc w:val="both"/>
            </w:pPr>
            <w:r>
              <w:rPr>
                <w:sz w:val="7"/>
              </w:rPr>
              <w:t xml:space="preserve">     I. atuar na proteção dos dados custodiados, assegurando que tais dados sejam utilizados estritamente no âmbito das atividades da concessão;</w:t>
            </w:r>
          </w:p>
        </w:tc>
        <w:tc>
          <w:tcPr>
            <w:tcW w:w="0" w:type="auto"/>
            <w:gridSpan w:val="2"/>
            <w:vMerge/>
            <w:tcBorders>
              <w:top w:val="nil"/>
              <w:left w:val="single" w:sz="3" w:space="0" w:color="000000"/>
              <w:bottom w:val="nil"/>
              <w:right w:val="nil"/>
            </w:tcBorders>
          </w:tcPr>
          <w:p w14:paraId="547BCE3D" w14:textId="77777777" w:rsidR="00541219" w:rsidRDefault="00541219">
            <w:pPr>
              <w:spacing w:after="160"/>
              <w:ind w:left="0" w:firstLine="0"/>
            </w:pPr>
          </w:p>
        </w:tc>
      </w:tr>
      <w:tr w:rsidR="00541219" w14:paraId="585F2D6D"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26927872" w14:textId="77777777" w:rsidR="00541219" w:rsidRDefault="00000000">
            <w:pPr>
              <w:spacing w:after="0"/>
              <w:ind w:left="497" w:firstLine="0"/>
              <w:jc w:val="both"/>
            </w:pPr>
            <w:r>
              <w:rPr>
                <w:sz w:val="7"/>
              </w:rPr>
              <w:t xml:space="preserve">     II. adotar procedimentos e mecanismos interoperáveis que permitam o tratamento e o compartilhamento dos dados, observada a regulação da ANEEL;</w:t>
            </w:r>
          </w:p>
        </w:tc>
        <w:tc>
          <w:tcPr>
            <w:tcW w:w="0" w:type="auto"/>
            <w:gridSpan w:val="2"/>
            <w:vMerge/>
            <w:tcBorders>
              <w:top w:val="nil"/>
              <w:left w:val="single" w:sz="3" w:space="0" w:color="000000"/>
              <w:bottom w:val="nil"/>
              <w:right w:val="nil"/>
            </w:tcBorders>
          </w:tcPr>
          <w:p w14:paraId="5C237C2A" w14:textId="77777777" w:rsidR="00541219" w:rsidRDefault="00541219">
            <w:pPr>
              <w:spacing w:after="160"/>
              <w:ind w:left="0" w:firstLine="0"/>
            </w:pPr>
          </w:p>
        </w:tc>
      </w:tr>
      <w:tr w:rsidR="00541219" w14:paraId="70645F26"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565E8417" w14:textId="77777777" w:rsidR="00541219" w:rsidRDefault="00000000">
            <w:pPr>
              <w:spacing w:after="0"/>
              <w:ind w:left="497" w:firstLine="0"/>
            </w:pPr>
            <w:r>
              <w:rPr>
                <w:sz w:val="7"/>
              </w:rPr>
              <w:t xml:space="preserve">     III. compartilhar os dados somente mediante o prévio consentimento do usuário, ou utilizando base legal definida pela Lei no 13.709, de 14 de agosto de 2018, considerando a natureza dos dados;</w:t>
            </w:r>
          </w:p>
        </w:tc>
        <w:tc>
          <w:tcPr>
            <w:tcW w:w="0" w:type="auto"/>
            <w:gridSpan w:val="2"/>
            <w:vMerge/>
            <w:tcBorders>
              <w:top w:val="nil"/>
              <w:left w:val="single" w:sz="3" w:space="0" w:color="000000"/>
              <w:bottom w:val="nil"/>
              <w:right w:val="nil"/>
            </w:tcBorders>
          </w:tcPr>
          <w:p w14:paraId="02FE49DD" w14:textId="77777777" w:rsidR="00541219" w:rsidRDefault="00541219">
            <w:pPr>
              <w:spacing w:after="160"/>
              <w:ind w:left="0" w:firstLine="0"/>
            </w:pPr>
          </w:p>
        </w:tc>
      </w:tr>
      <w:tr w:rsidR="00541219" w14:paraId="077CB44A"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55A33A07" w14:textId="77777777" w:rsidR="00541219" w:rsidRDefault="00000000">
            <w:pPr>
              <w:spacing w:after="0"/>
              <w:ind w:left="497" w:right="9" w:firstLine="0"/>
            </w:pPr>
            <w:r>
              <w:rPr>
                <w:sz w:val="7"/>
              </w:rPr>
              <w:t xml:space="preserve">     IV. atuar de forma não discriminatória, possibilitando amplo e isonômico acesso dos dados aos interessados e em benefício da concorrência, em conformidade com o disposto na Lei no 13.709, de 14 de agosto de 2018 e com a regulação da ANEEL; e</w:t>
            </w:r>
          </w:p>
        </w:tc>
        <w:tc>
          <w:tcPr>
            <w:tcW w:w="0" w:type="auto"/>
            <w:gridSpan w:val="2"/>
            <w:vMerge/>
            <w:tcBorders>
              <w:top w:val="nil"/>
              <w:left w:val="single" w:sz="3" w:space="0" w:color="000000"/>
              <w:bottom w:val="nil"/>
              <w:right w:val="nil"/>
            </w:tcBorders>
          </w:tcPr>
          <w:p w14:paraId="71F60DCF" w14:textId="77777777" w:rsidR="00541219" w:rsidRDefault="00541219">
            <w:pPr>
              <w:spacing w:after="160"/>
              <w:ind w:left="0" w:firstLine="0"/>
            </w:pPr>
          </w:p>
        </w:tc>
      </w:tr>
      <w:tr w:rsidR="00541219" w14:paraId="7604203C"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561D388C" w14:textId="77777777" w:rsidR="00541219" w:rsidRDefault="00000000">
            <w:pPr>
              <w:spacing w:after="0"/>
              <w:ind w:left="497" w:firstLine="0"/>
            </w:pPr>
            <w:r>
              <w:rPr>
                <w:sz w:val="7"/>
              </w:rPr>
              <w:t xml:space="preserve">     V. não criar obstáculos e não adotar mecanismos que prejudiquem a jornada do usuário ou o incentivem, de forma voluntária ou involuntária, a desistir do compartilhamento de dados.</w:t>
            </w:r>
          </w:p>
        </w:tc>
        <w:tc>
          <w:tcPr>
            <w:tcW w:w="0" w:type="auto"/>
            <w:gridSpan w:val="2"/>
            <w:vMerge/>
            <w:tcBorders>
              <w:top w:val="nil"/>
              <w:left w:val="single" w:sz="3" w:space="0" w:color="000000"/>
              <w:bottom w:val="nil"/>
              <w:right w:val="nil"/>
            </w:tcBorders>
          </w:tcPr>
          <w:p w14:paraId="3A0F3F82" w14:textId="77777777" w:rsidR="00541219" w:rsidRDefault="00541219">
            <w:pPr>
              <w:spacing w:after="160"/>
              <w:ind w:left="0" w:firstLine="0"/>
            </w:pPr>
          </w:p>
        </w:tc>
      </w:tr>
      <w:tr w:rsidR="00541219" w14:paraId="5946FB74"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17559EFA" w14:textId="77777777" w:rsidR="00541219" w:rsidRDefault="00000000">
            <w:pPr>
              <w:spacing w:after="0"/>
              <w:ind w:left="0" w:firstLine="0"/>
              <w:jc w:val="both"/>
            </w:pPr>
            <w:r>
              <w:rPr>
                <w:sz w:val="7"/>
              </w:rPr>
              <w:lastRenderedPageBreak/>
              <w:t>Subcláusula Sexta – É vedado à DISTRIBUIDORA praticar condutas anticoncorrenciais observada a legislação e a regulação da ANEEL:</w:t>
            </w:r>
          </w:p>
        </w:tc>
        <w:tc>
          <w:tcPr>
            <w:tcW w:w="0" w:type="auto"/>
            <w:gridSpan w:val="2"/>
            <w:vMerge/>
            <w:tcBorders>
              <w:top w:val="nil"/>
              <w:left w:val="single" w:sz="3" w:space="0" w:color="000000"/>
              <w:bottom w:val="nil"/>
              <w:right w:val="nil"/>
            </w:tcBorders>
          </w:tcPr>
          <w:p w14:paraId="4AC095FE" w14:textId="77777777" w:rsidR="00541219" w:rsidRDefault="00541219">
            <w:pPr>
              <w:spacing w:after="160"/>
              <w:ind w:left="0" w:firstLine="0"/>
            </w:pPr>
          </w:p>
        </w:tc>
      </w:tr>
      <w:tr w:rsidR="00541219" w14:paraId="68D8A0C9"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1329643D" w14:textId="77777777" w:rsidR="00541219" w:rsidRDefault="00000000">
            <w:pPr>
              <w:spacing w:after="0"/>
              <w:ind w:left="497" w:firstLine="0"/>
            </w:pPr>
            <w:r>
              <w:rPr>
                <w:sz w:val="7"/>
              </w:rPr>
              <w:t xml:space="preserve">     I. na implementação do exercício, pelo usuário em processo de migração, da opção de que tratam o art. 15 e o art. 16 da Lei no 9.074, de 7 de julho de 1995;</w:t>
            </w:r>
          </w:p>
        </w:tc>
        <w:tc>
          <w:tcPr>
            <w:tcW w:w="0" w:type="auto"/>
            <w:gridSpan w:val="2"/>
            <w:vMerge/>
            <w:tcBorders>
              <w:top w:val="nil"/>
              <w:left w:val="single" w:sz="3" w:space="0" w:color="000000"/>
              <w:bottom w:val="nil"/>
              <w:right w:val="nil"/>
            </w:tcBorders>
          </w:tcPr>
          <w:p w14:paraId="35F73C7F" w14:textId="77777777" w:rsidR="00541219" w:rsidRDefault="00541219">
            <w:pPr>
              <w:spacing w:after="160"/>
              <w:ind w:left="0" w:firstLine="0"/>
            </w:pPr>
          </w:p>
        </w:tc>
      </w:tr>
      <w:tr w:rsidR="00541219" w14:paraId="02EACDCD" w14:textId="77777777">
        <w:trPr>
          <w:trHeight w:val="91"/>
        </w:trPr>
        <w:tc>
          <w:tcPr>
            <w:tcW w:w="3727" w:type="dxa"/>
            <w:tcBorders>
              <w:top w:val="single" w:sz="3" w:space="0" w:color="000000"/>
              <w:left w:val="single" w:sz="3" w:space="0" w:color="000000"/>
              <w:bottom w:val="single" w:sz="3" w:space="0" w:color="000000"/>
              <w:right w:val="single" w:sz="3" w:space="0" w:color="000000"/>
            </w:tcBorders>
          </w:tcPr>
          <w:p w14:paraId="599D3841" w14:textId="77777777" w:rsidR="00541219" w:rsidRDefault="00000000">
            <w:pPr>
              <w:spacing w:after="0"/>
              <w:ind w:left="40" w:firstLine="0"/>
              <w:jc w:val="center"/>
            </w:pPr>
            <w:r>
              <w:rPr>
                <w:sz w:val="7"/>
              </w:rPr>
              <w:t xml:space="preserve">     II. em relação à custódia de dados, observado o disposto na Subcláusula Quinta;</w:t>
            </w:r>
          </w:p>
        </w:tc>
        <w:tc>
          <w:tcPr>
            <w:tcW w:w="0" w:type="auto"/>
            <w:gridSpan w:val="2"/>
            <w:vMerge/>
            <w:tcBorders>
              <w:top w:val="nil"/>
              <w:left w:val="single" w:sz="3" w:space="0" w:color="000000"/>
              <w:bottom w:val="nil"/>
              <w:right w:val="nil"/>
            </w:tcBorders>
          </w:tcPr>
          <w:p w14:paraId="7F83EB67" w14:textId="77777777" w:rsidR="00541219" w:rsidRDefault="00541219">
            <w:pPr>
              <w:spacing w:after="160"/>
              <w:ind w:left="0" w:firstLine="0"/>
            </w:pPr>
          </w:p>
        </w:tc>
      </w:tr>
      <w:tr w:rsidR="00541219" w14:paraId="72F52177"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04E5DCDC" w14:textId="77777777" w:rsidR="00541219" w:rsidRDefault="00000000">
            <w:pPr>
              <w:spacing w:after="0"/>
              <w:ind w:left="497" w:right="18" w:firstLine="0"/>
              <w:jc w:val="both"/>
            </w:pPr>
            <w:r>
              <w:rPr>
                <w:sz w:val="7"/>
              </w:rPr>
              <w:t xml:space="preserve">     III. em qualquer outra situação cuja conduta seja caracterizada como anticompetitiva ou abuso de poder de mercado, nos termos da legislação e da regulação da ANEEL, inclusive quando envolver partes relacionadas;</w:t>
            </w:r>
          </w:p>
        </w:tc>
        <w:tc>
          <w:tcPr>
            <w:tcW w:w="0" w:type="auto"/>
            <w:gridSpan w:val="2"/>
            <w:vMerge/>
            <w:tcBorders>
              <w:top w:val="nil"/>
              <w:left w:val="single" w:sz="3" w:space="0" w:color="000000"/>
              <w:bottom w:val="nil"/>
              <w:right w:val="nil"/>
            </w:tcBorders>
          </w:tcPr>
          <w:p w14:paraId="01569DEC" w14:textId="77777777" w:rsidR="00541219" w:rsidRDefault="00541219">
            <w:pPr>
              <w:spacing w:after="160"/>
              <w:ind w:left="0" w:firstLine="0"/>
            </w:pPr>
          </w:p>
        </w:tc>
      </w:tr>
      <w:tr w:rsidR="00541219" w14:paraId="252ED05E" w14:textId="77777777">
        <w:trPr>
          <w:trHeight w:val="458"/>
        </w:trPr>
        <w:tc>
          <w:tcPr>
            <w:tcW w:w="3727" w:type="dxa"/>
            <w:tcBorders>
              <w:top w:val="single" w:sz="3" w:space="0" w:color="000000"/>
              <w:left w:val="single" w:sz="3" w:space="0" w:color="000000"/>
              <w:bottom w:val="single" w:sz="3" w:space="0" w:color="000000"/>
              <w:right w:val="single" w:sz="3" w:space="0" w:color="000000"/>
            </w:tcBorders>
          </w:tcPr>
          <w:p w14:paraId="4111D2C3" w14:textId="77777777" w:rsidR="00541219" w:rsidRDefault="00000000">
            <w:pPr>
              <w:spacing w:after="0"/>
              <w:ind w:left="497" w:firstLine="0"/>
            </w:pPr>
            <w:r>
              <w:rPr>
                <w:sz w:val="7"/>
              </w:rPr>
              <w:t>Parágrafo único – A ANEEL poderá estabelecer, com vistas a propiciar concorrência efetiva entre os agentes e a impedir a concentração econômica nos serviços e atividades de energia elétrica, restrições, limites ou condições para a Distribuidora e suas partes relacionadas, quanto à realização de negócios entre si ou quanto ao desenvolvimento de outras atividades na mesma área de concessão.</w:t>
            </w:r>
          </w:p>
        </w:tc>
        <w:tc>
          <w:tcPr>
            <w:tcW w:w="0" w:type="auto"/>
            <w:gridSpan w:val="2"/>
            <w:vMerge/>
            <w:tcBorders>
              <w:top w:val="nil"/>
              <w:left w:val="single" w:sz="3" w:space="0" w:color="000000"/>
              <w:bottom w:val="nil"/>
              <w:right w:val="nil"/>
            </w:tcBorders>
          </w:tcPr>
          <w:p w14:paraId="63CF5CFA" w14:textId="77777777" w:rsidR="00541219" w:rsidRDefault="00541219">
            <w:pPr>
              <w:spacing w:after="160"/>
              <w:ind w:left="0" w:firstLine="0"/>
            </w:pPr>
          </w:p>
        </w:tc>
      </w:tr>
      <w:tr w:rsidR="00541219" w14:paraId="622C583A"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0FFC6F0F" w14:textId="77777777" w:rsidR="00541219" w:rsidRDefault="00000000">
            <w:pPr>
              <w:spacing w:after="0"/>
              <w:ind w:left="0" w:firstLine="0"/>
              <w:jc w:val="both"/>
            </w:pPr>
            <w:r>
              <w:rPr>
                <w:sz w:val="7"/>
              </w:rPr>
              <w:t>Subcláusula Sétima – Ao solicitar reequilíbrio econômico-financeiro ou realizar pleitos específicos de reposicionamento tarifário ou qualquer outro referente a sua prestação de serviço, a DISTRIBUIDORA deve:</w:t>
            </w:r>
          </w:p>
        </w:tc>
        <w:tc>
          <w:tcPr>
            <w:tcW w:w="0" w:type="auto"/>
            <w:gridSpan w:val="2"/>
            <w:vMerge/>
            <w:tcBorders>
              <w:top w:val="nil"/>
              <w:left w:val="single" w:sz="3" w:space="0" w:color="000000"/>
              <w:bottom w:val="nil"/>
              <w:right w:val="nil"/>
            </w:tcBorders>
          </w:tcPr>
          <w:p w14:paraId="623D3BCF" w14:textId="77777777" w:rsidR="00541219" w:rsidRDefault="00541219">
            <w:pPr>
              <w:spacing w:after="160"/>
              <w:ind w:left="0" w:firstLine="0"/>
            </w:pPr>
          </w:p>
        </w:tc>
      </w:tr>
      <w:tr w:rsidR="00541219" w14:paraId="68CB2D5F" w14:textId="77777777">
        <w:trPr>
          <w:trHeight w:val="91"/>
        </w:trPr>
        <w:tc>
          <w:tcPr>
            <w:tcW w:w="3727" w:type="dxa"/>
            <w:tcBorders>
              <w:top w:val="single" w:sz="3" w:space="0" w:color="000000"/>
              <w:left w:val="single" w:sz="3" w:space="0" w:color="000000"/>
              <w:bottom w:val="single" w:sz="3" w:space="0" w:color="000000"/>
              <w:right w:val="single" w:sz="3" w:space="0" w:color="000000"/>
            </w:tcBorders>
          </w:tcPr>
          <w:p w14:paraId="5A4195B7" w14:textId="77777777" w:rsidR="00541219" w:rsidRDefault="00000000">
            <w:pPr>
              <w:spacing w:after="0"/>
              <w:ind w:left="331" w:firstLine="0"/>
            </w:pPr>
            <w:r>
              <w:rPr>
                <w:sz w:val="7"/>
              </w:rPr>
              <w:t xml:space="preserve">     I – </w:t>
            </w:r>
            <w:proofErr w:type="gramStart"/>
            <w:r>
              <w:rPr>
                <w:sz w:val="7"/>
              </w:rPr>
              <w:t>expor</w:t>
            </w:r>
            <w:proofErr w:type="gramEnd"/>
            <w:r>
              <w:rPr>
                <w:sz w:val="7"/>
              </w:rPr>
              <w:t xml:space="preserve"> os fatos conforme a verdade;</w:t>
            </w:r>
          </w:p>
        </w:tc>
        <w:tc>
          <w:tcPr>
            <w:tcW w:w="0" w:type="auto"/>
            <w:gridSpan w:val="2"/>
            <w:vMerge/>
            <w:tcBorders>
              <w:top w:val="nil"/>
              <w:left w:val="single" w:sz="3" w:space="0" w:color="000000"/>
              <w:bottom w:val="nil"/>
              <w:right w:val="nil"/>
            </w:tcBorders>
          </w:tcPr>
          <w:p w14:paraId="211975DC" w14:textId="77777777" w:rsidR="00541219" w:rsidRDefault="00541219">
            <w:pPr>
              <w:spacing w:after="160"/>
              <w:ind w:left="0" w:firstLine="0"/>
            </w:pPr>
          </w:p>
        </w:tc>
      </w:tr>
      <w:tr w:rsidR="00541219" w14:paraId="27C6DC3B"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5598750B" w14:textId="77777777" w:rsidR="00541219" w:rsidRDefault="00000000">
            <w:pPr>
              <w:spacing w:after="0"/>
              <w:ind w:left="331" w:firstLine="0"/>
            </w:pPr>
            <w:r>
              <w:rPr>
                <w:sz w:val="7"/>
              </w:rPr>
              <w:t xml:space="preserve">     II - </w:t>
            </w:r>
            <w:proofErr w:type="gramStart"/>
            <w:r>
              <w:rPr>
                <w:sz w:val="7"/>
              </w:rPr>
              <w:t>não</w:t>
            </w:r>
            <w:proofErr w:type="gramEnd"/>
            <w:r>
              <w:rPr>
                <w:sz w:val="7"/>
              </w:rPr>
              <w:t xml:space="preserve"> formular pretensão ou apresentar defesa quando cientes de que são destituídas de fundamento;</w:t>
            </w:r>
          </w:p>
        </w:tc>
        <w:tc>
          <w:tcPr>
            <w:tcW w:w="0" w:type="auto"/>
            <w:gridSpan w:val="2"/>
            <w:vMerge/>
            <w:tcBorders>
              <w:top w:val="nil"/>
              <w:left w:val="single" w:sz="3" w:space="0" w:color="000000"/>
              <w:bottom w:val="nil"/>
              <w:right w:val="nil"/>
            </w:tcBorders>
          </w:tcPr>
          <w:p w14:paraId="54CF178A" w14:textId="77777777" w:rsidR="00541219" w:rsidRDefault="00541219">
            <w:pPr>
              <w:spacing w:after="160"/>
              <w:ind w:left="0" w:firstLine="0"/>
            </w:pPr>
          </w:p>
        </w:tc>
      </w:tr>
      <w:tr w:rsidR="00541219" w14:paraId="14C90038" w14:textId="77777777">
        <w:trPr>
          <w:trHeight w:val="91"/>
        </w:trPr>
        <w:tc>
          <w:tcPr>
            <w:tcW w:w="3727" w:type="dxa"/>
            <w:tcBorders>
              <w:top w:val="single" w:sz="3" w:space="0" w:color="000000"/>
              <w:left w:val="single" w:sz="3" w:space="0" w:color="000000"/>
              <w:bottom w:val="single" w:sz="3" w:space="0" w:color="000000"/>
              <w:right w:val="single" w:sz="3" w:space="0" w:color="000000"/>
            </w:tcBorders>
          </w:tcPr>
          <w:p w14:paraId="12FB87C5" w14:textId="77777777" w:rsidR="00541219" w:rsidRDefault="00000000">
            <w:pPr>
              <w:spacing w:after="0"/>
              <w:ind w:left="21" w:firstLine="0"/>
              <w:jc w:val="center"/>
            </w:pPr>
            <w:r>
              <w:rPr>
                <w:sz w:val="7"/>
              </w:rPr>
              <w:t xml:space="preserve">     III - não produzir provas e não praticar atos inúteis ou desnecessários ao exame do pedido;</w:t>
            </w:r>
          </w:p>
        </w:tc>
        <w:tc>
          <w:tcPr>
            <w:tcW w:w="0" w:type="auto"/>
            <w:gridSpan w:val="2"/>
            <w:vMerge/>
            <w:tcBorders>
              <w:top w:val="nil"/>
              <w:left w:val="single" w:sz="3" w:space="0" w:color="000000"/>
              <w:bottom w:val="nil"/>
              <w:right w:val="nil"/>
            </w:tcBorders>
          </w:tcPr>
          <w:p w14:paraId="56945D38" w14:textId="77777777" w:rsidR="00541219" w:rsidRDefault="00541219">
            <w:pPr>
              <w:spacing w:after="160"/>
              <w:ind w:left="0" w:firstLine="0"/>
            </w:pPr>
          </w:p>
        </w:tc>
      </w:tr>
      <w:tr w:rsidR="00541219" w14:paraId="38BAF4A9" w14:textId="77777777">
        <w:trPr>
          <w:trHeight w:val="148"/>
        </w:trPr>
        <w:tc>
          <w:tcPr>
            <w:tcW w:w="3727" w:type="dxa"/>
            <w:tcBorders>
              <w:top w:val="single" w:sz="3" w:space="0" w:color="000000"/>
              <w:left w:val="single" w:sz="3" w:space="0" w:color="000000"/>
              <w:bottom w:val="double" w:sz="3" w:space="0" w:color="000000"/>
              <w:right w:val="single" w:sz="3" w:space="0" w:color="000000"/>
            </w:tcBorders>
          </w:tcPr>
          <w:p w14:paraId="7E1A13C5" w14:textId="77777777" w:rsidR="00541219" w:rsidRDefault="00000000">
            <w:pPr>
              <w:spacing w:after="0"/>
              <w:ind w:left="331" w:firstLine="0"/>
            </w:pPr>
            <w:r>
              <w:rPr>
                <w:sz w:val="7"/>
              </w:rPr>
              <w:t xml:space="preserve">     IV - </w:t>
            </w:r>
            <w:proofErr w:type="gramStart"/>
            <w:r>
              <w:rPr>
                <w:sz w:val="7"/>
              </w:rPr>
              <w:t>não</w:t>
            </w:r>
            <w:proofErr w:type="gramEnd"/>
            <w:r>
              <w:rPr>
                <w:sz w:val="7"/>
              </w:rPr>
              <w:t xml:space="preserve"> atribuir ao pedido valor expressivamente inferior ou superior ao devido.</w:t>
            </w:r>
          </w:p>
        </w:tc>
        <w:tc>
          <w:tcPr>
            <w:tcW w:w="0" w:type="auto"/>
            <w:gridSpan w:val="2"/>
            <w:vMerge/>
            <w:tcBorders>
              <w:top w:val="nil"/>
              <w:left w:val="single" w:sz="3" w:space="0" w:color="000000"/>
              <w:bottom w:val="nil"/>
              <w:right w:val="nil"/>
            </w:tcBorders>
          </w:tcPr>
          <w:p w14:paraId="49756BF2" w14:textId="77777777" w:rsidR="00541219" w:rsidRDefault="00541219">
            <w:pPr>
              <w:spacing w:after="160"/>
              <w:ind w:left="0" w:firstLine="0"/>
            </w:pPr>
          </w:p>
        </w:tc>
      </w:tr>
      <w:tr w:rsidR="00541219" w14:paraId="71765348" w14:textId="77777777">
        <w:trPr>
          <w:trHeight w:val="239"/>
        </w:trPr>
        <w:tc>
          <w:tcPr>
            <w:tcW w:w="3727" w:type="dxa"/>
            <w:tcBorders>
              <w:top w:val="double" w:sz="3" w:space="0" w:color="000000"/>
              <w:left w:val="single" w:sz="3" w:space="0" w:color="000000"/>
              <w:bottom w:val="single" w:sz="3" w:space="0" w:color="000000"/>
              <w:right w:val="single" w:sz="3" w:space="0" w:color="000000"/>
            </w:tcBorders>
          </w:tcPr>
          <w:p w14:paraId="7748D7C0" w14:textId="77777777" w:rsidR="00541219" w:rsidRDefault="00000000">
            <w:pPr>
              <w:spacing w:after="0"/>
              <w:ind w:left="2" w:firstLine="0"/>
            </w:pPr>
            <w:r>
              <w:t>CLÁUSULA QUARTA – PRERROGATIVAS DA DISTRIBUIDORA</w:t>
            </w:r>
          </w:p>
          <w:p w14:paraId="4089D138" w14:textId="77777777" w:rsidR="00541219" w:rsidRDefault="00000000">
            <w:pPr>
              <w:spacing w:after="0"/>
              <w:ind w:left="0" w:firstLine="0"/>
            </w:pPr>
            <w:r>
              <w:rPr>
                <w:sz w:val="7"/>
              </w:rPr>
              <w:t>Além de outros direitos decorrentes das normas legais e regulamentares vigentes e de outras disposições deste CONTRATO, constituem prerrogativas da DISTRIBUIDORA, inerentes à concessão:</w:t>
            </w:r>
          </w:p>
        </w:tc>
        <w:tc>
          <w:tcPr>
            <w:tcW w:w="0" w:type="auto"/>
            <w:gridSpan w:val="2"/>
            <w:vMerge/>
            <w:tcBorders>
              <w:top w:val="nil"/>
              <w:left w:val="single" w:sz="3" w:space="0" w:color="000000"/>
              <w:bottom w:val="nil"/>
              <w:right w:val="nil"/>
            </w:tcBorders>
          </w:tcPr>
          <w:p w14:paraId="022C1D8D" w14:textId="77777777" w:rsidR="00541219" w:rsidRDefault="00541219">
            <w:pPr>
              <w:spacing w:after="160"/>
              <w:ind w:left="0" w:firstLine="0"/>
            </w:pPr>
          </w:p>
        </w:tc>
      </w:tr>
      <w:tr w:rsidR="00541219" w14:paraId="5E3CD435"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6365DFAD" w14:textId="77777777" w:rsidR="00541219" w:rsidRDefault="00000000">
            <w:pPr>
              <w:spacing w:after="0"/>
              <w:ind w:left="497" w:firstLine="0"/>
            </w:pPr>
            <w:r>
              <w:rPr>
                <w:sz w:val="7"/>
              </w:rPr>
              <w:t xml:space="preserve">     I. utilizar, por prazo indeterminado, os terrenos de domínio público, estabelecendo sobre eles estradas, vias ou caminhos de acesso e as servidões que se tornarem necessárias à exploração do serviço, com sujeição às normas setoriais;</w:t>
            </w:r>
          </w:p>
        </w:tc>
        <w:tc>
          <w:tcPr>
            <w:tcW w:w="0" w:type="auto"/>
            <w:gridSpan w:val="2"/>
            <w:vMerge/>
            <w:tcBorders>
              <w:top w:val="nil"/>
              <w:left w:val="single" w:sz="3" w:space="0" w:color="000000"/>
              <w:bottom w:val="nil"/>
              <w:right w:val="nil"/>
            </w:tcBorders>
          </w:tcPr>
          <w:p w14:paraId="5642DD9E" w14:textId="77777777" w:rsidR="00541219" w:rsidRDefault="00541219">
            <w:pPr>
              <w:spacing w:after="160"/>
              <w:ind w:left="0" w:firstLine="0"/>
            </w:pPr>
          </w:p>
        </w:tc>
      </w:tr>
      <w:tr w:rsidR="00541219" w14:paraId="5D208F89" w14:textId="77777777">
        <w:trPr>
          <w:trHeight w:val="365"/>
        </w:trPr>
        <w:tc>
          <w:tcPr>
            <w:tcW w:w="3727" w:type="dxa"/>
            <w:tcBorders>
              <w:top w:val="single" w:sz="3" w:space="0" w:color="000000"/>
              <w:left w:val="single" w:sz="3" w:space="0" w:color="000000"/>
              <w:bottom w:val="single" w:sz="3" w:space="0" w:color="000000"/>
              <w:right w:val="single" w:sz="3" w:space="0" w:color="000000"/>
            </w:tcBorders>
          </w:tcPr>
          <w:p w14:paraId="5EA5DEFA" w14:textId="77777777" w:rsidR="00541219" w:rsidRDefault="00000000">
            <w:pPr>
              <w:spacing w:after="0"/>
              <w:ind w:left="497" w:right="42" w:firstLine="0"/>
              <w:jc w:val="both"/>
            </w:pPr>
            <w:r>
              <w:rPr>
                <w:sz w:val="7"/>
              </w:rPr>
              <w:t xml:space="preserve">     II. promover desapropriação e instituir servidões administrativas sobre bens declarados de utilidade pública, necessários à execução de serviços ou de obras vinculadas ao serviço, arcando com o pagamento das indenizações correspondentes, quando cabíveis, bem assim com o ônus de sua adequada manutenção;</w:t>
            </w:r>
          </w:p>
        </w:tc>
        <w:tc>
          <w:tcPr>
            <w:tcW w:w="0" w:type="auto"/>
            <w:gridSpan w:val="2"/>
            <w:vMerge/>
            <w:tcBorders>
              <w:top w:val="nil"/>
              <w:left w:val="single" w:sz="3" w:space="0" w:color="000000"/>
              <w:bottom w:val="nil"/>
              <w:right w:val="nil"/>
            </w:tcBorders>
          </w:tcPr>
          <w:p w14:paraId="1C6801FA" w14:textId="77777777" w:rsidR="00541219" w:rsidRDefault="00541219">
            <w:pPr>
              <w:spacing w:after="160"/>
              <w:ind w:left="0" w:firstLine="0"/>
            </w:pPr>
          </w:p>
        </w:tc>
      </w:tr>
      <w:tr w:rsidR="00541219" w14:paraId="0FF1B664"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452F720E" w14:textId="77777777" w:rsidR="00541219" w:rsidRDefault="00000000">
            <w:pPr>
              <w:spacing w:after="0"/>
              <w:ind w:left="497" w:firstLine="0"/>
              <w:jc w:val="both"/>
            </w:pPr>
            <w:r>
              <w:rPr>
                <w:sz w:val="7"/>
              </w:rPr>
              <w:t xml:space="preserve">     III. construir estradas e implantar sistemas de telecomunicações, sem prejuízo de terceiros, para uso exclusivo na exploração do serviço, respeitadas as normas setoriais; e</w:t>
            </w:r>
          </w:p>
        </w:tc>
        <w:tc>
          <w:tcPr>
            <w:tcW w:w="0" w:type="auto"/>
            <w:gridSpan w:val="2"/>
            <w:vMerge/>
            <w:tcBorders>
              <w:top w:val="nil"/>
              <w:left w:val="single" w:sz="3" w:space="0" w:color="000000"/>
              <w:bottom w:val="nil"/>
              <w:right w:val="nil"/>
            </w:tcBorders>
          </w:tcPr>
          <w:p w14:paraId="48376385" w14:textId="77777777" w:rsidR="00541219" w:rsidRDefault="00541219">
            <w:pPr>
              <w:spacing w:after="160"/>
              <w:ind w:left="0" w:firstLine="0"/>
            </w:pPr>
          </w:p>
        </w:tc>
      </w:tr>
      <w:tr w:rsidR="00541219" w14:paraId="6F548FA8"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46EEE256" w14:textId="77777777" w:rsidR="00541219" w:rsidRDefault="00000000">
            <w:pPr>
              <w:spacing w:after="0"/>
              <w:ind w:left="497" w:firstLine="0"/>
            </w:pPr>
            <w:r>
              <w:rPr>
                <w:sz w:val="7"/>
              </w:rPr>
              <w:t xml:space="preserve">     IV. estabelecer linhas e redes de energia elétrica, bem como outros equipamentos e instalações vinculados ao serviço público de distribuição de energia elétrica, para atendimento de usuários em sua área de concessão.</w:t>
            </w:r>
          </w:p>
        </w:tc>
        <w:tc>
          <w:tcPr>
            <w:tcW w:w="0" w:type="auto"/>
            <w:gridSpan w:val="2"/>
            <w:vMerge/>
            <w:tcBorders>
              <w:top w:val="nil"/>
              <w:left w:val="single" w:sz="3" w:space="0" w:color="000000"/>
              <w:bottom w:val="nil"/>
              <w:right w:val="nil"/>
            </w:tcBorders>
          </w:tcPr>
          <w:p w14:paraId="556DC612" w14:textId="77777777" w:rsidR="00541219" w:rsidRDefault="00541219">
            <w:pPr>
              <w:spacing w:after="160"/>
              <w:ind w:left="0" w:firstLine="0"/>
            </w:pPr>
          </w:p>
        </w:tc>
      </w:tr>
      <w:tr w:rsidR="00541219" w14:paraId="151120D3"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1A18082F" w14:textId="77777777" w:rsidR="00541219" w:rsidRDefault="00000000">
            <w:pPr>
              <w:spacing w:after="0"/>
              <w:ind w:left="0" w:right="145" w:firstLine="0"/>
              <w:jc w:val="both"/>
            </w:pPr>
            <w:r>
              <w:rPr>
                <w:sz w:val="7"/>
              </w:rPr>
              <w:t>Subcláusula Primeira – As prerrogativas decorrentes da prestação do serviço objeto deste CONTRATO não conferem à DISTRIBUIDORA imunidade ou isenção tributárias, ressalvadas as situações expressamente indicadas em Lei.</w:t>
            </w:r>
          </w:p>
        </w:tc>
        <w:tc>
          <w:tcPr>
            <w:tcW w:w="0" w:type="auto"/>
            <w:gridSpan w:val="2"/>
            <w:vMerge/>
            <w:tcBorders>
              <w:top w:val="nil"/>
              <w:left w:val="single" w:sz="3" w:space="0" w:color="000000"/>
              <w:bottom w:val="nil"/>
              <w:right w:val="nil"/>
            </w:tcBorders>
          </w:tcPr>
          <w:p w14:paraId="26FEB922" w14:textId="77777777" w:rsidR="00541219" w:rsidRDefault="00541219">
            <w:pPr>
              <w:spacing w:after="160"/>
              <w:ind w:left="0" w:firstLine="0"/>
            </w:pPr>
          </w:p>
        </w:tc>
      </w:tr>
      <w:tr w:rsidR="00541219" w14:paraId="272DA653"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4D24FF77" w14:textId="77777777" w:rsidR="00541219" w:rsidRDefault="00000000">
            <w:pPr>
              <w:spacing w:after="0"/>
              <w:ind w:left="0" w:right="112" w:firstLine="0"/>
              <w:jc w:val="both"/>
            </w:pPr>
            <w:r>
              <w:rPr>
                <w:sz w:val="7"/>
              </w:rPr>
              <w:t>Subcláusula Segunda – As prerrogativas, em razão deste CONTRATO, conferidas à DISTRIBUIDORA não afetarão os direitos de terceiros e dos usuários do serviço público de distribuição de energia elétrica, que ficam expressamente ressalvados.</w:t>
            </w:r>
          </w:p>
        </w:tc>
        <w:tc>
          <w:tcPr>
            <w:tcW w:w="0" w:type="auto"/>
            <w:gridSpan w:val="2"/>
            <w:vMerge/>
            <w:tcBorders>
              <w:top w:val="nil"/>
              <w:left w:val="single" w:sz="3" w:space="0" w:color="000000"/>
              <w:bottom w:val="nil"/>
              <w:right w:val="nil"/>
            </w:tcBorders>
          </w:tcPr>
          <w:p w14:paraId="1F6956A4" w14:textId="77777777" w:rsidR="00541219" w:rsidRDefault="00541219">
            <w:pPr>
              <w:spacing w:after="160"/>
              <w:ind w:left="0" w:firstLine="0"/>
            </w:pPr>
          </w:p>
        </w:tc>
      </w:tr>
      <w:tr w:rsidR="00541219" w14:paraId="34E8DEE7"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1D528257" w14:textId="77777777" w:rsidR="00541219" w:rsidRDefault="00000000">
            <w:pPr>
              <w:spacing w:after="0"/>
              <w:ind w:left="0" w:firstLine="0"/>
            </w:pPr>
            <w:r>
              <w:rPr>
                <w:sz w:val="7"/>
              </w:rPr>
              <w:t>Subcláusula Terceira – A DISTRIBUIDORA poderá contratar com terceiros o desenvolvimento de quaisquer de suas atividades relacionadas ao serviço concedido, observando-se que:</w:t>
            </w:r>
          </w:p>
        </w:tc>
        <w:tc>
          <w:tcPr>
            <w:tcW w:w="0" w:type="auto"/>
            <w:gridSpan w:val="2"/>
            <w:vMerge/>
            <w:tcBorders>
              <w:top w:val="nil"/>
              <w:left w:val="single" w:sz="3" w:space="0" w:color="000000"/>
              <w:bottom w:val="nil"/>
              <w:right w:val="nil"/>
            </w:tcBorders>
          </w:tcPr>
          <w:p w14:paraId="015F0253" w14:textId="77777777" w:rsidR="00541219" w:rsidRDefault="00541219">
            <w:pPr>
              <w:spacing w:after="160"/>
              <w:ind w:left="0" w:firstLine="0"/>
            </w:pPr>
          </w:p>
        </w:tc>
      </w:tr>
      <w:tr w:rsidR="00541219" w14:paraId="3D5CE74E"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64BC18F6" w14:textId="77777777" w:rsidR="00541219" w:rsidRDefault="00000000">
            <w:pPr>
              <w:spacing w:after="0"/>
              <w:ind w:left="497" w:firstLine="0"/>
            </w:pPr>
            <w:r>
              <w:rPr>
                <w:sz w:val="7"/>
              </w:rPr>
              <w:t xml:space="preserve">     I. tais contratos reger-se-ão pelo direito privado, ressalvadas, quando pertinentes, as disposições legais atinentes à contratação pela Administração Pública;</w:t>
            </w:r>
          </w:p>
        </w:tc>
        <w:tc>
          <w:tcPr>
            <w:tcW w:w="0" w:type="auto"/>
            <w:gridSpan w:val="2"/>
            <w:vMerge/>
            <w:tcBorders>
              <w:top w:val="nil"/>
              <w:left w:val="single" w:sz="3" w:space="0" w:color="000000"/>
              <w:bottom w:val="nil"/>
              <w:right w:val="nil"/>
            </w:tcBorders>
          </w:tcPr>
          <w:p w14:paraId="1F1680EE" w14:textId="77777777" w:rsidR="00541219" w:rsidRDefault="00541219">
            <w:pPr>
              <w:spacing w:after="160"/>
              <w:ind w:left="0" w:firstLine="0"/>
            </w:pPr>
          </w:p>
        </w:tc>
      </w:tr>
      <w:tr w:rsidR="00541219" w14:paraId="08FA38C3"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302261B2" w14:textId="77777777" w:rsidR="00541219" w:rsidRDefault="00000000">
            <w:pPr>
              <w:spacing w:after="0"/>
              <w:ind w:left="0" w:right="37" w:firstLine="0"/>
              <w:jc w:val="right"/>
            </w:pPr>
            <w:r>
              <w:rPr>
                <w:sz w:val="7"/>
              </w:rPr>
              <w:t xml:space="preserve">     II. tais contratos não estabelecem qualquer relação jurídica entre os terceiros contratados pela </w:t>
            </w:r>
          </w:p>
          <w:p w14:paraId="320AB2A5" w14:textId="77777777" w:rsidR="00541219" w:rsidRDefault="00000000">
            <w:pPr>
              <w:spacing w:after="0"/>
              <w:ind w:left="497" w:firstLine="0"/>
            </w:pPr>
            <w:r>
              <w:rPr>
                <w:sz w:val="7"/>
              </w:rPr>
              <w:t>DISTRIBUIDORA e o PODER CONCEDENTE ou a ANEEL;</w:t>
            </w:r>
          </w:p>
        </w:tc>
        <w:tc>
          <w:tcPr>
            <w:tcW w:w="0" w:type="auto"/>
            <w:gridSpan w:val="2"/>
            <w:vMerge/>
            <w:tcBorders>
              <w:top w:val="nil"/>
              <w:left w:val="single" w:sz="3" w:space="0" w:color="000000"/>
              <w:bottom w:val="nil"/>
              <w:right w:val="nil"/>
            </w:tcBorders>
          </w:tcPr>
          <w:p w14:paraId="5F743AA2" w14:textId="77777777" w:rsidR="00541219" w:rsidRDefault="00541219">
            <w:pPr>
              <w:spacing w:after="160"/>
              <w:ind w:left="0" w:firstLine="0"/>
            </w:pPr>
          </w:p>
        </w:tc>
      </w:tr>
      <w:tr w:rsidR="00541219" w14:paraId="19B2E17C"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02605780" w14:textId="77777777" w:rsidR="00541219" w:rsidRDefault="00000000">
            <w:pPr>
              <w:spacing w:after="0"/>
              <w:ind w:left="497" w:firstLine="0"/>
              <w:jc w:val="both"/>
            </w:pPr>
            <w:r>
              <w:rPr>
                <w:sz w:val="7"/>
              </w:rPr>
              <w:t xml:space="preserve">     III. a execução das atividades contratadas com terceiros não exclui e, portanto, pressupõe o cumprimento das normas que regem a prestação do serviço concedido; e</w:t>
            </w:r>
          </w:p>
        </w:tc>
        <w:tc>
          <w:tcPr>
            <w:tcW w:w="0" w:type="auto"/>
            <w:gridSpan w:val="2"/>
            <w:vMerge/>
            <w:tcBorders>
              <w:top w:val="nil"/>
              <w:left w:val="single" w:sz="3" w:space="0" w:color="000000"/>
              <w:bottom w:val="single" w:sz="3" w:space="0" w:color="000000"/>
              <w:right w:val="nil"/>
            </w:tcBorders>
          </w:tcPr>
          <w:p w14:paraId="450987FD" w14:textId="77777777" w:rsidR="00541219" w:rsidRDefault="00541219">
            <w:pPr>
              <w:spacing w:after="160"/>
              <w:ind w:left="0" w:firstLine="0"/>
            </w:pPr>
          </w:p>
        </w:tc>
      </w:tr>
      <w:tr w:rsidR="00541219" w14:paraId="321A99B0" w14:textId="77777777">
        <w:trPr>
          <w:trHeight w:val="434"/>
        </w:trPr>
        <w:tc>
          <w:tcPr>
            <w:tcW w:w="3727" w:type="dxa"/>
            <w:tcBorders>
              <w:top w:val="single" w:sz="3" w:space="0" w:color="000000"/>
              <w:left w:val="single" w:sz="3" w:space="0" w:color="000000"/>
              <w:bottom w:val="single" w:sz="3" w:space="0" w:color="000000"/>
              <w:right w:val="single" w:sz="3" w:space="0" w:color="000000"/>
            </w:tcBorders>
          </w:tcPr>
          <w:p w14:paraId="7E812417" w14:textId="77777777" w:rsidR="00541219" w:rsidRDefault="00000000">
            <w:pPr>
              <w:spacing w:after="0"/>
              <w:ind w:left="497" w:firstLine="0"/>
            </w:pPr>
            <w:r>
              <w:rPr>
                <w:sz w:val="7"/>
              </w:rPr>
              <w:t xml:space="preserve">     IV. a DISTRIBUIDORA deve uniformizar as exigências de qualificação entre seus empregados e os empregados de empresas terceirizadas que lhe prestem serviços relacionados à sua atividade fim.</w:t>
            </w:r>
          </w:p>
        </w:tc>
        <w:tc>
          <w:tcPr>
            <w:tcW w:w="3041" w:type="dxa"/>
            <w:tcBorders>
              <w:top w:val="single" w:sz="3" w:space="0" w:color="000000"/>
              <w:left w:val="single" w:sz="3" w:space="0" w:color="000000"/>
              <w:bottom w:val="single" w:sz="3" w:space="0" w:color="000000"/>
              <w:right w:val="single" w:sz="3" w:space="0" w:color="000000"/>
            </w:tcBorders>
          </w:tcPr>
          <w:p w14:paraId="3B528296" w14:textId="77777777" w:rsidR="00541219" w:rsidRDefault="00000000">
            <w:pPr>
              <w:spacing w:after="0"/>
              <w:ind w:left="5" w:firstLine="0"/>
            </w:pPr>
            <w:r>
              <w:rPr>
                <w:rFonts w:ascii="Calibri" w:eastAsia="Calibri" w:hAnsi="Calibri" w:cs="Calibri"/>
                <w:noProof/>
                <w:sz w:val="22"/>
              </w:rPr>
              <mc:AlternateContent>
                <mc:Choice Requires="wpg">
                  <w:drawing>
                    <wp:anchor distT="0" distB="0" distL="114300" distR="114300" simplePos="0" relativeHeight="251664384" behindDoc="1" locked="0" layoutInCell="1" allowOverlap="1" wp14:anchorId="3F68EF43" wp14:editId="37AFC112">
                      <wp:simplePos x="0" y="0"/>
                      <wp:positionH relativeFrom="column">
                        <wp:posOffset>778764</wp:posOffset>
                      </wp:positionH>
                      <wp:positionV relativeFrom="paragraph">
                        <wp:posOffset>166021</wp:posOffset>
                      </wp:positionV>
                      <wp:extent cx="467868" cy="4572"/>
                      <wp:effectExtent l="0" t="0" r="0" b="0"/>
                      <wp:wrapNone/>
                      <wp:docPr id="117425" name="Group 117425"/>
                      <wp:cNvGraphicFramePr/>
                      <a:graphic xmlns:a="http://schemas.openxmlformats.org/drawingml/2006/main">
                        <a:graphicData uri="http://schemas.microsoft.com/office/word/2010/wordprocessingGroup">
                          <wpg:wgp>
                            <wpg:cNvGrpSpPr/>
                            <wpg:grpSpPr>
                              <a:xfrm>
                                <a:off x="0" y="0"/>
                                <a:ext cx="467868" cy="4572"/>
                                <a:chOff x="0" y="0"/>
                                <a:chExt cx="467868" cy="4572"/>
                              </a:xfrm>
                            </wpg:grpSpPr>
                            <wps:wsp>
                              <wps:cNvPr id="135642" name="Shape 135642"/>
                              <wps:cNvSpPr/>
                              <wps:spPr>
                                <a:xfrm>
                                  <a:off x="0" y="0"/>
                                  <a:ext cx="368808" cy="9144"/>
                                </a:xfrm>
                                <a:custGeom>
                                  <a:avLst/>
                                  <a:gdLst/>
                                  <a:ahLst/>
                                  <a:cxnLst/>
                                  <a:rect l="0" t="0" r="0" b="0"/>
                                  <a:pathLst>
                                    <a:path w="368808" h="9144">
                                      <a:moveTo>
                                        <a:pt x="0" y="0"/>
                                      </a:moveTo>
                                      <a:lnTo>
                                        <a:pt x="368808" y="0"/>
                                      </a:lnTo>
                                      <a:lnTo>
                                        <a:pt x="3688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643" name="Shape 135643"/>
                              <wps:cNvSpPr/>
                              <wps:spPr>
                                <a:xfrm>
                                  <a:off x="368808" y="1524"/>
                                  <a:ext cx="99060" cy="9144"/>
                                </a:xfrm>
                                <a:custGeom>
                                  <a:avLst/>
                                  <a:gdLst/>
                                  <a:ahLst/>
                                  <a:cxnLst/>
                                  <a:rect l="0" t="0" r="0" b="0"/>
                                  <a:pathLst>
                                    <a:path w="99060" h="9144">
                                      <a:moveTo>
                                        <a:pt x="0" y="0"/>
                                      </a:moveTo>
                                      <a:lnTo>
                                        <a:pt x="99060" y="0"/>
                                      </a:lnTo>
                                      <a:lnTo>
                                        <a:pt x="990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17425" style="width:36.84pt;height:0.359985pt;position:absolute;z-index:-2147483536;mso-position-horizontal-relative:text;mso-position-horizontal:absolute;margin-left:61.32pt;mso-position-vertical-relative:text;margin-top:13.0725pt;" coordsize="4678,45">
                      <v:shape id="Shape 135644" style="position:absolute;width:3688;height:91;left:0;top:0;" coordsize="368808,9144" path="m0,0l368808,0l368808,9144l0,9144l0,0">
                        <v:stroke weight="0pt" endcap="flat" joinstyle="miter" miterlimit="10" on="false" color="#000000" opacity="0"/>
                        <v:fill on="true" color="#000000"/>
                      </v:shape>
                      <v:shape id="Shape 135645" style="position:absolute;width:990;height:91;left:3688;top:15;" coordsize="99060,9144" path="m0,0l99060,0l99060,9144l0,9144l0,0">
                        <v:stroke weight="0pt" endcap="flat" joinstyle="miter" miterlimit="10" on="false" color="#000000" opacity="0"/>
                        <v:fill on="true" color="#000000"/>
                      </v:shape>
                    </v:group>
                  </w:pict>
                </mc:Fallback>
              </mc:AlternateContent>
            </w:r>
            <w:r>
              <w:t xml:space="preserve">a DISTRIBUIDORA deve uniformizar as exigências de qualificação entre seus empregados e os empregados de empresas terceirizadas que lhe prestem serviços relacionados à sua </w:t>
            </w:r>
            <w:proofErr w:type="gramStart"/>
            <w:r>
              <w:t>atividade  fim</w:t>
            </w:r>
            <w:proofErr w:type="gramEnd"/>
            <w:r>
              <w:t xml:space="preserve">  </w:t>
            </w:r>
            <w:r>
              <w:rPr>
                <w:color w:val="FF0000"/>
              </w:rPr>
              <w:t>a quaisquer de suas atividades relacionadas ao serviço concedido.</w:t>
            </w:r>
          </w:p>
        </w:tc>
        <w:tc>
          <w:tcPr>
            <w:tcW w:w="3473" w:type="dxa"/>
            <w:tcBorders>
              <w:top w:val="single" w:sz="3" w:space="0" w:color="000000"/>
              <w:left w:val="single" w:sz="3" w:space="0" w:color="000000"/>
              <w:bottom w:val="single" w:sz="3" w:space="0" w:color="000000"/>
              <w:right w:val="single" w:sz="3" w:space="0" w:color="000000"/>
            </w:tcBorders>
          </w:tcPr>
          <w:p w14:paraId="676894A0" w14:textId="77777777" w:rsidR="00541219" w:rsidRDefault="00000000" w:rsidP="008E3408">
            <w:pPr>
              <w:spacing w:after="0"/>
              <w:ind w:left="5" w:right="2" w:firstLine="0"/>
              <w:jc w:val="both"/>
            </w:pPr>
            <w:r>
              <w:t>As exigências de uniformização para qualificação dos empregados e os empregados de empresas terceirizadas devem ser estendidas para todas as atividades, não apenas às atividades fins.</w:t>
            </w:r>
          </w:p>
        </w:tc>
      </w:tr>
      <w:tr w:rsidR="00541219" w14:paraId="760219E9" w14:textId="77777777">
        <w:trPr>
          <w:trHeight w:val="458"/>
        </w:trPr>
        <w:tc>
          <w:tcPr>
            <w:tcW w:w="3727" w:type="dxa"/>
            <w:tcBorders>
              <w:top w:val="single" w:sz="3" w:space="0" w:color="000000"/>
              <w:left w:val="single" w:sz="3" w:space="0" w:color="000000"/>
              <w:bottom w:val="single" w:sz="3" w:space="0" w:color="000000"/>
              <w:right w:val="single" w:sz="3" w:space="0" w:color="000000"/>
            </w:tcBorders>
          </w:tcPr>
          <w:p w14:paraId="4186CD6E" w14:textId="77777777" w:rsidR="00541219" w:rsidRDefault="00000000">
            <w:pPr>
              <w:spacing w:after="0"/>
              <w:ind w:left="0" w:firstLine="0"/>
            </w:pPr>
            <w:r>
              <w:rPr>
                <w:sz w:val="7"/>
              </w:rPr>
              <w:t xml:space="preserve">Subcláusula Quarta – Do disposto no 75-A, do Decreto n° 5.163, de 30 de julho de 2004, com base na alínea </w:t>
            </w:r>
          </w:p>
          <w:p w14:paraId="6B83BC4A" w14:textId="77777777" w:rsidR="00541219" w:rsidRDefault="00000000">
            <w:pPr>
              <w:spacing w:after="0"/>
              <w:ind w:left="0" w:firstLine="0"/>
            </w:pPr>
            <w:r>
              <w:rPr>
                <w:sz w:val="7"/>
              </w:rPr>
              <w:t>"e" do art. 151, do Decreto n° 24.643, de 10 de julho de 1934, no art. 28 da Lei n° 9.427, de 26 de dezembro de 1996, no inciso XXXIV, art. 40, Anexo I, do Decreto n° 2.335, de 6 de outubro de 1997, fica a DISTRIBUIDORA autorizada a realizar estudos geológicos e topográficos, necessários a elaboração do projeto das instalações de distribuição.</w:t>
            </w:r>
          </w:p>
        </w:tc>
        <w:tc>
          <w:tcPr>
            <w:tcW w:w="6514" w:type="dxa"/>
            <w:gridSpan w:val="2"/>
            <w:vMerge w:val="restart"/>
            <w:tcBorders>
              <w:top w:val="single" w:sz="3" w:space="0" w:color="000000"/>
              <w:left w:val="single" w:sz="3" w:space="0" w:color="000000"/>
              <w:bottom w:val="nil"/>
              <w:right w:val="nil"/>
            </w:tcBorders>
          </w:tcPr>
          <w:p w14:paraId="37DB6017" w14:textId="77777777" w:rsidR="00541219" w:rsidRDefault="00541219">
            <w:pPr>
              <w:spacing w:after="160"/>
              <w:ind w:left="0" w:firstLine="0"/>
            </w:pPr>
          </w:p>
        </w:tc>
      </w:tr>
      <w:tr w:rsidR="00541219" w14:paraId="773E76D7"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49A8EB64" w14:textId="77777777" w:rsidR="00541219" w:rsidRDefault="00000000">
            <w:pPr>
              <w:spacing w:after="0"/>
              <w:ind w:left="0" w:right="317" w:firstLine="0"/>
              <w:jc w:val="both"/>
            </w:pPr>
            <w:r>
              <w:rPr>
                <w:sz w:val="7"/>
              </w:rPr>
              <w:t>Subcláusula Quinta – A autorização referida na Subcláusula anterior confere à DISTRIBUIDORA, com fundamento na Lei n° 6.712, de 5 de novembro de 1979, competência e direito para a realização dos levantamentos de campo junto às propriedades particulares situadas na rota das linhas de distribuição.</w:t>
            </w:r>
          </w:p>
        </w:tc>
        <w:tc>
          <w:tcPr>
            <w:tcW w:w="0" w:type="auto"/>
            <w:gridSpan w:val="2"/>
            <w:vMerge/>
            <w:tcBorders>
              <w:top w:val="nil"/>
              <w:left w:val="single" w:sz="3" w:space="0" w:color="000000"/>
              <w:bottom w:val="nil"/>
              <w:right w:val="nil"/>
            </w:tcBorders>
          </w:tcPr>
          <w:p w14:paraId="705B3CF5" w14:textId="77777777" w:rsidR="00541219" w:rsidRDefault="00541219">
            <w:pPr>
              <w:spacing w:after="160"/>
              <w:ind w:left="0" w:firstLine="0"/>
            </w:pPr>
          </w:p>
        </w:tc>
      </w:tr>
      <w:tr w:rsidR="00541219" w14:paraId="5DF635D4" w14:textId="77777777">
        <w:trPr>
          <w:trHeight w:val="330"/>
        </w:trPr>
        <w:tc>
          <w:tcPr>
            <w:tcW w:w="3727" w:type="dxa"/>
            <w:tcBorders>
              <w:top w:val="single" w:sz="3" w:space="0" w:color="000000"/>
              <w:left w:val="single" w:sz="3" w:space="0" w:color="000000"/>
              <w:bottom w:val="double" w:sz="3" w:space="0" w:color="000000"/>
              <w:right w:val="single" w:sz="3" w:space="0" w:color="000000"/>
            </w:tcBorders>
          </w:tcPr>
          <w:p w14:paraId="32620F6A" w14:textId="77777777" w:rsidR="00541219" w:rsidRDefault="00000000">
            <w:pPr>
              <w:spacing w:after="0"/>
              <w:ind w:left="0" w:right="12" w:firstLine="0"/>
            </w:pPr>
            <w:r>
              <w:rPr>
                <w:sz w:val="7"/>
              </w:rPr>
              <w:t>Subcláusula Sexta – A autorização referida nas duas Subcláusulas anteriores não exime a DISTRIBUIDORA de reparar, imediatamente, os eventuais danos causados às propriedades localizadas na rota das linhas de distribuição em decorrência dos estudos autorizados.</w:t>
            </w:r>
          </w:p>
        </w:tc>
        <w:tc>
          <w:tcPr>
            <w:tcW w:w="0" w:type="auto"/>
            <w:gridSpan w:val="2"/>
            <w:vMerge/>
            <w:tcBorders>
              <w:top w:val="nil"/>
              <w:left w:val="single" w:sz="3" w:space="0" w:color="000000"/>
              <w:bottom w:val="nil"/>
              <w:right w:val="nil"/>
            </w:tcBorders>
          </w:tcPr>
          <w:p w14:paraId="76F63257" w14:textId="77777777" w:rsidR="00541219" w:rsidRDefault="00541219">
            <w:pPr>
              <w:spacing w:after="160"/>
              <w:ind w:left="0" w:firstLine="0"/>
            </w:pPr>
          </w:p>
        </w:tc>
      </w:tr>
      <w:tr w:rsidR="00541219" w14:paraId="681C3B0F" w14:textId="77777777">
        <w:trPr>
          <w:trHeight w:val="330"/>
        </w:trPr>
        <w:tc>
          <w:tcPr>
            <w:tcW w:w="3727" w:type="dxa"/>
            <w:tcBorders>
              <w:top w:val="double" w:sz="3" w:space="0" w:color="000000"/>
              <w:left w:val="single" w:sz="3" w:space="0" w:color="000000"/>
              <w:bottom w:val="single" w:sz="3" w:space="0" w:color="000000"/>
              <w:right w:val="single" w:sz="3" w:space="0" w:color="000000"/>
            </w:tcBorders>
          </w:tcPr>
          <w:p w14:paraId="497BFA87" w14:textId="77777777" w:rsidR="00541219" w:rsidRDefault="00000000">
            <w:pPr>
              <w:spacing w:after="0"/>
              <w:ind w:left="2" w:firstLine="0"/>
            </w:pPr>
            <w:r>
              <w:t>CLÁUSULA QUINTA – EXPANSÃO E AMPLIAÇÃO DOS SISTEMAS ELÉTRICOS</w:t>
            </w:r>
          </w:p>
          <w:p w14:paraId="3446F831" w14:textId="77777777" w:rsidR="00541219" w:rsidRDefault="00000000">
            <w:pPr>
              <w:spacing w:after="0"/>
              <w:ind w:left="0" w:firstLine="0"/>
            </w:pPr>
            <w:r>
              <w:rPr>
                <w:sz w:val="7"/>
              </w:rPr>
              <w:t>A DISTRIBUIDORA obriga-se a prover o atendimento das demandas do serviço concedido, incluindo a implantação de novas instalações, ampliação e modificação das existentes, assim como garantir o atendimento de seu mercado de energia presente e futuro.</w:t>
            </w:r>
          </w:p>
        </w:tc>
        <w:tc>
          <w:tcPr>
            <w:tcW w:w="0" w:type="auto"/>
            <w:gridSpan w:val="2"/>
            <w:vMerge/>
            <w:tcBorders>
              <w:top w:val="nil"/>
              <w:left w:val="single" w:sz="3" w:space="0" w:color="000000"/>
              <w:bottom w:val="nil"/>
              <w:right w:val="nil"/>
            </w:tcBorders>
          </w:tcPr>
          <w:p w14:paraId="21AC3FE7" w14:textId="77777777" w:rsidR="00541219" w:rsidRDefault="00541219">
            <w:pPr>
              <w:spacing w:after="160"/>
              <w:ind w:left="0" w:firstLine="0"/>
            </w:pPr>
          </w:p>
        </w:tc>
      </w:tr>
      <w:tr w:rsidR="00541219" w14:paraId="78700B9E" w14:textId="77777777">
        <w:trPr>
          <w:trHeight w:val="458"/>
        </w:trPr>
        <w:tc>
          <w:tcPr>
            <w:tcW w:w="3727" w:type="dxa"/>
            <w:tcBorders>
              <w:top w:val="single" w:sz="3" w:space="0" w:color="000000"/>
              <w:left w:val="single" w:sz="3" w:space="0" w:color="000000"/>
              <w:bottom w:val="single" w:sz="3" w:space="0" w:color="000000"/>
              <w:right w:val="single" w:sz="3" w:space="0" w:color="000000"/>
            </w:tcBorders>
          </w:tcPr>
          <w:p w14:paraId="1E12ACDB" w14:textId="77777777" w:rsidR="00541219" w:rsidRDefault="00000000">
            <w:pPr>
              <w:spacing w:after="0"/>
              <w:ind w:left="0" w:firstLine="0"/>
            </w:pPr>
            <w:r>
              <w:rPr>
                <w:sz w:val="7"/>
              </w:rPr>
              <w:t xml:space="preserve">Subcláusula Primeira – As novas instalações, as ampliações e as modificações das instalações existentes, inclusive as de transmissão de âmbito próprio da distribuição, deverão obedecer aos procedimentos legais específicos e às normas do PODER CONCEDENTE e da ANEEL e incorporar-se- </w:t>
            </w:r>
            <w:proofErr w:type="spellStart"/>
            <w:r>
              <w:rPr>
                <w:sz w:val="7"/>
              </w:rPr>
              <w:t>ão</w:t>
            </w:r>
            <w:proofErr w:type="spellEnd"/>
            <w:r>
              <w:rPr>
                <w:sz w:val="7"/>
              </w:rPr>
              <w:t xml:space="preserve"> à concessão, regulando-se pelas disposições deste CONTRATO e pelas normas legais e regulamentares da prestação de serviço público de distribuição de energia elétrica.</w:t>
            </w:r>
          </w:p>
        </w:tc>
        <w:tc>
          <w:tcPr>
            <w:tcW w:w="0" w:type="auto"/>
            <w:gridSpan w:val="2"/>
            <w:vMerge/>
            <w:tcBorders>
              <w:top w:val="nil"/>
              <w:left w:val="single" w:sz="3" w:space="0" w:color="000000"/>
              <w:bottom w:val="nil"/>
              <w:right w:val="nil"/>
            </w:tcBorders>
          </w:tcPr>
          <w:p w14:paraId="4D7E1171" w14:textId="77777777" w:rsidR="00541219" w:rsidRDefault="00541219">
            <w:pPr>
              <w:spacing w:after="160"/>
              <w:ind w:left="0" w:firstLine="0"/>
            </w:pPr>
          </w:p>
        </w:tc>
      </w:tr>
      <w:tr w:rsidR="00541219" w14:paraId="3FD603EE"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7D7A97FE" w14:textId="77777777" w:rsidR="00541219" w:rsidRDefault="00000000">
            <w:pPr>
              <w:spacing w:after="0"/>
              <w:ind w:left="0" w:firstLine="0"/>
            </w:pPr>
            <w:r>
              <w:rPr>
                <w:sz w:val="7"/>
              </w:rPr>
              <w:t>Subcláusula Segunda – Compete à DISTRIBUIDORA planejar a expansão e a ampliação do sistema de distribuição, observando o critério de menor custo global para o sistema elétrico e considerando, conforme regulação da ANEEL:</w:t>
            </w:r>
          </w:p>
        </w:tc>
        <w:tc>
          <w:tcPr>
            <w:tcW w:w="0" w:type="auto"/>
            <w:gridSpan w:val="2"/>
            <w:vMerge/>
            <w:tcBorders>
              <w:top w:val="nil"/>
              <w:left w:val="single" w:sz="3" w:space="0" w:color="000000"/>
              <w:bottom w:val="nil"/>
              <w:right w:val="nil"/>
            </w:tcBorders>
          </w:tcPr>
          <w:p w14:paraId="6325E52E" w14:textId="77777777" w:rsidR="00541219" w:rsidRDefault="00541219">
            <w:pPr>
              <w:spacing w:after="160"/>
              <w:ind w:left="0" w:firstLine="0"/>
            </w:pPr>
          </w:p>
        </w:tc>
      </w:tr>
      <w:tr w:rsidR="00541219" w14:paraId="46CD4882" w14:textId="77777777">
        <w:trPr>
          <w:trHeight w:val="91"/>
        </w:trPr>
        <w:tc>
          <w:tcPr>
            <w:tcW w:w="3727" w:type="dxa"/>
            <w:tcBorders>
              <w:top w:val="single" w:sz="3" w:space="0" w:color="000000"/>
              <w:left w:val="single" w:sz="3" w:space="0" w:color="000000"/>
              <w:bottom w:val="single" w:sz="3" w:space="0" w:color="000000"/>
              <w:right w:val="single" w:sz="3" w:space="0" w:color="000000"/>
            </w:tcBorders>
          </w:tcPr>
          <w:p w14:paraId="1061A2B9" w14:textId="77777777" w:rsidR="00541219" w:rsidRDefault="00000000">
            <w:pPr>
              <w:spacing w:after="0"/>
              <w:ind w:left="497" w:firstLine="0"/>
            </w:pPr>
            <w:r>
              <w:rPr>
                <w:sz w:val="7"/>
              </w:rPr>
              <w:t xml:space="preserve">     I. as possibilidades de integração com outros sistemas de distribuição e de transmissão;</w:t>
            </w:r>
          </w:p>
        </w:tc>
        <w:tc>
          <w:tcPr>
            <w:tcW w:w="0" w:type="auto"/>
            <w:gridSpan w:val="2"/>
            <w:vMerge/>
            <w:tcBorders>
              <w:top w:val="nil"/>
              <w:left w:val="single" w:sz="3" w:space="0" w:color="000000"/>
              <w:bottom w:val="nil"/>
              <w:right w:val="nil"/>
            </w:tcBorders>
          </w:tcPr>
          <w:p w14:paraId="0CAC3DD8" w14:textId="77777777" w:rsidR="00541219" w:rsidRDefault="00541219">
            <w:pPr>
              <w:spacing w:after="160"/>
              <w:ind w:left="0" w:firstLine="0"/>
            </w:pPr>
          </w:p>
        </w:tc>
      </w:tr>
      <w:tr w:rsidR="00541219" w14:paraId="50A72707" w14:textId="77777777">
        <w:trPr>
          <w:trHeight w:val="91"/>
        </w:trPr>
        <w:tc>
          <w:tcPr>
            <w:tcW w:w="3727" w:type="dxa"/>
            <w:tcBorders>
              <w:top w:val="single" w:sz="3" w:space="0" w:color="000000"/>
              <w:left w:val="single" w:sz="3" w:space="0" w:color="000000"/>
              <w:bottom w:val="single" w:sz="3" w:space="0" w:color="000000"/>
              <w:right w:val="single" w:sz="3" w:space="0" w:color="000000"/>
            </w:tcBorders>
          </w:tcPr>
          <w:p w14:paraId="4C63702D" w14:textId="77777777" w:rsidR="00541219" w:rsidRDefault="00000000">
            <w:pPr>
              <w:spacing w:after="0"/>
              <w:ind w:left="7" w:firstLine="0"/>
              <w:jc w:val="center"/>
            </w:pPr>
            <w:r>
              <w:rPr>
                <w:sz w:val="7"/>
              </w:rPr>
              <w:t xml:space="preserve">     II. a inserção e integração de recursos energéticos distribuídos e de </w:t>
            </w:r>
            <w:proofErr w:type="spellStart"/>
            <w:r>
              <w:rPr>
                <w:sz w:val="7"/>
              </w:rPr>
              <w:t>microredes</w:t>
            </w:r>
            <w:proofErr w:type="spellEnd"/>
            <w:r>
              <w:rPr>
                <w:sz w:val="7"/>
              </w:rPr>
              <w:t>;</w:t>
            </w:r>
          </w:p>
        </w:tc>
        <w:tc>
          <w:tcPr>
            <w:tcW w:w="0" w:type="auto"/>
            <w:gridSpan w:val="2"/>
            <w:vMerge/>
            <w:tcBorders>
              <w:top w:val="nil"/>
              <w:left w:val="single" w:sz="3" w:space="0" w:color="000000"/>
              <w:bottom w:val="nil"/>
              <w:right w:val="nil"/>
            </w:tcBorders>
          </w:tcPr>
          <w:p w14:paraId="1DD35D18" w14:textId="77777777" w:rsidR="00541219" w:rsidRDefault="00541219">
            <w:pPr>
              <w:spacing w:after="160"/>
              <w:ind w:left="0" w:firstLine="0"/>
            </w:pPr>
          </w:p>
        </w:tc>
      </w:tr>
      <w:tr w:rsidR="00541219" w14:paraId="532845D6"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3791120F" w14:textId="77777777" w:rsidR="00541219" w:rsidRDefault="00000000">
            <w:pPr>
              <w:spacing w:after="0"/>
              <w:ind w:left="497" w:firstLine="0"/>
              <w:jc w:val="both"/>
            </w:pPr>
            <w:r>
              <w:rPr>
                <w:sz w:val="7"/>
              </w:rPr>
              <w:t xml:space="preserve">     III. a participação ativa dos usuários, incluindo programas de resposta à demanda e eficiência energética; e</w:t>
            </w:r>
          </w:p>
        </w:tc>
        <w:tc>
          <w:tcPr>
            <w:tcW w:w="0" w:type="auto"/>
            <w:gridSpan w:val="2"/>
            <w:vMerge/>
            <w:tcBorders>
              <w:top w:val="nil"/>
              <w:left w:val="single" w:sz="3" w:space="0" w:color="000000"/>
              <w:bottom w:val="nil"/>
              <w:right w:val="nil"/>
            </w:tcBorders>
          </w:tcPr>
          <w:p w14:paraId="536E8D1C" w14:textId="77777777" w:rsidR="00541219" w:rsidRDefault="00541219">
            <w:pPr>
              <w:spacing w:after="160"/>
              <w:ind w:left="0" w:firstLine="0"/>
            </w:pPr>
          </w:p>
        </w:tc>
      </w:tr>
      <w:tr w:rsidR="00541219" w14:paraId="15A15EE4"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4B0BF457" w14:textId="77777777" w:rsidR="00541219" w:rsidRDefault="00000000">
            <w:pPr>
              <w:spacing w:after="0"/>
              <w:ind w:left="497" w:firstLine="0"/>
            </w:pPr>
            <w:r>
              <w:rPr>
                <w:sz w:val="7"/>
              </w:rPr>
              <w:t xml:space="preserve">     IV. demais alternativas que não contemplem a expansão de suas redes de distribuição de energia elétrica.</w:t>
            </w:r>
          </w:p>
        </w:tc>
        <w:tc>
          <w:tcPr>
            <w:tcW w:w="0" w:type="auto"/>
            <w:gridSpan w:val="2"/>
            <w:vMerge/>
            <w:tcBorders>
              <w:top w:val="nil"/>
              <w:left w:val="single" w:sz="3" w:space="0" w:color="000000"/>
              <w:bottom w:val="nil"/>
              <w:right w:val="nil"/>
            </w:tcBorders>
          </w:tcPr>
          <w:p w14:paraId="24A98007" w14:textId="77777777" w:rsidR="00541219" w:rsidRDefault="00541219">
            <w:pPr>
              <w:spacing w:after="160"/>
              <w:ind w:left="0" w:firstLine="0"/>
            </w:pPr>
          </w:p>
        </w:tc>
      </w:tr>
      <w:tr w:rsidR="00541219" w14:paraId="0B47773E"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6AC21C34" w14:textId="77777777" w:rsidR="00541219" w:rsidRDefault="00000000">
            <w:pPr>
              <w:spacing w:after="0"/>
              <w:ind w:left="0" w:firstLine="0"/>
            </w:pPr>
            <w:r>
              <w:rPr>
                <w:sz w:val="7"/>
              </w:rPr>
              <w:t>Subcláusula Terceira – Compete à DISTRIBUIDORA efetuar, consoante o planejamento do setor elétrico, os suprimentos de energia elétrica a outras distribuidoras e as interligações que forem necessárias.</w:t>
            </w:r>
          </w:p>
        </w:tc>
        <w:tc>
          <w:tcPr>
            <w:tcW w:w="0" w:type="auto"/>
            <w:gridSpan w:val="2"/>
            <w:vMerge/>
            <w:tcBorders>
              <w:top w:val="nil"/>
              <w:left w:val="single" w:sz="3" w:space="0" w:color="000000"/>
              <w:bottom w:val="nil"/>
              <w:right w:val="nil"/>
            </w:tcBorders>
          </w:tcPr>
          <w:p w14:paraId="33C0ECC1" w14:textId="77777777" w:rsidR="00541219" w:rsidRDefault="00541219">
            <w:pPr>
              <w:spacing w:after="160"/>
              <w:ind w:left="0" w:firstLine="0"/>
            </w:pPr>
          </w:p>
        </w:tc>
      </w:tr>
      <w:tr w:rsidR="00541219" w14:paraId="2094985F" w14:textId="77777777">
        <w:trPr>
          <w:trHeight w:val="421"/>
        </w:trPr>
        <w:tc>
          <w:tcPr>
            <w:tcW w:w="3727" w:type="dxa"/>
            <w:tcBorders>
              <w:top w:val="single" w:sz="3" w:space="0" w:color="000000"/>
              <w:left w:val="single" w:sz="3" w:space="0" w:color="000000"/>
              <w:bottom w:val="double" w:sz="3" w:space="0" w:color="000000"/>
              <w:right w:val="single" w:sz="3" w:space="0" w:color="000000"/>
            </w:tcBorders>
          </w:tcPr>
          <w:p w14:paraId="4FB631CE" w14:textId="77777777" w:rsidR="00541219" w:rsidRDefault="00000000">
            <w:pPr>
              <w:spacing w:after="0"/>
              <w:ind w:left="0" w:firstLine="0"/>
            </w:pPr>
            <w:r>
              <w:rPr>
                <w:sz w:val="7"/>
              </w:rPr>
              <w:t>Subcláusula Quarta – Compete à DISTRIBUIDORA subsidiar e participar do planejamento do setor elétrico e da elaboração dos planos e estudos de expansão do Sistema Elétrico Nacional, implementando as obras de sua responsabilidade e fazendo cumprir, em sua área de concessão, as determinações técnicas e administrativas deles decorrentes.</w:t>
            </w:r>
          </w:p>
        </w:tc>
        <w:tc>
          <w:tcPr>
            <w:tcW w:w="0" w:type="auto"/>
            <w:gridSpan w:val="2"/>
            <w:vMerge/>
            <w:tcBorders>
              <w:top w:val="nil"/>
              <w:left w:val="single" w:sz="3" w:space="0" w:color="000000"/>
              <w:bottom w:val="nil"/>
              <w:right w:val="nil"/>
            </w:tcBorders>
          </w:tcPr>
          <w:p w14:paraId="1BA19317" w14:textId="77777777" w:rsidR="00541219" w:rsidRDefault="00541219">
            <w:pPr>
              <w:spacing w:after="160"/>
              <w:ind w:left="0" w:firstLine="0"/>
            </w:pPr>
          </w:p>
        </w:tc>
      </w:tr>
      <w:tr w:rsidR="00541219" w14:paraId="78296A49" w14:textId="77777777">
        <w:trPr>
          <w:trHeight w:val="239"/>
        </w:trPr>
        <w:tc>
          <w:tcPr>
            <w:tcW w:w="3727" w:type="dxa"/>
            <w:tcBorders>
              <w:top w:val="double" w:sz="3" w:space="0" w:color="000000"/>
              <w:left w:val="single" w:sz="3" w:space="0" w:color="000000"/>
              <w:bottom w:val="single" w:sz="3" w:space="0" w:color="000000"/>
              <w:right w:val="single" w:sz="3" w:space="0" w:color="000000"/>
            </w:tcBorders>
          </w:tcPr>
          <w:p w14:paraId="7FA64522" w14:textId="77777777" w:rsidR="00541219" w:rsidRDefault="00000000">
            <w:pPr>
              <w:spacing w:after="0"/>
              <w:ind w:left="2" w:firstLine="0"/>
            </w:pPr>
            <w:r>
              <w:t>CLÁUSULA SEXTA – TARIFAS APLICÁVEIS NA PRESTAÇÃO DO SERVIÇO</w:t>
            </w:r>
          </w:p>
          <w:p w14:paraId="28B71447" w14:textId="77777777" w:rsidR="00541219" w:rsidRDefault="00000000">
            <w:pPr>
              <w:spacing w:after="0"/>
              <w:ind w:left="0" w:right="14" w:firstLine="0"/>
              <w:jc w:val="both"/>
            </w:pPr>
            <w:r>
              <w:rPr>
                <w:sz w:val="7"/>
              </w:rPr>
              <w:t>Pela prestação do serviço público de distribuição de energia elétrica que lhe é concedido por este CONTRATO, a DISTRIBUIDORA cobrará as tarifas homologadas pela ANEEL.</w:t>
            </w:r>
          </w:p>
        </w:tc>
        <w:tc>
          <w:tcPr>
            <w:tcW w:w="0" w:type="auto"/>
            <w:gridSpan w:val="2"/>
            <w:vMerge/>
            <w:tcBorders>
              <w:top w:val="nil"/>
              <w:left w:val="single" w:sz="3" w:space="0" w:color="000000"/>
              <w:bottom w:val="nil"/>
              <w:right w:val="nil"/>
            </w:tcBorders>
          </w:tcPr>
          <w:p w14:paraId="1291A310" w14:textId="77777777" w:rsidR="00541219" w:rsidRDefault="00541219">
            <w:pPr>
              <w:spacing w:after="160"/>
              <w:ind w:left="0" w:firstLine="0"/>
            </w:pPr>
          </w:p>
        </w:tc>
      </w:tr>
      <w:tr w:rsidR="00541219" w14:paraId="13273347"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67DF6BAD" w14:textId="77777777" w:rsidR="00541219" w:rsidRDefault="00000000">
            <w:pPr>
              <w:spacing w:after="0"/>
              <w:ind w:left="0" w:right="57" w:firstLine="0"/>
              <w:jc w:val="both"/>
            </w:pPr>
            <w:r>
              <w:rPr>
                <w:sz w:val="7"/>
              </w:rPr>
              <w:t>Subcláusula Primeira – A DISTRIBUIDORA reconhece que as tarifas vigentes na data da assinatura deste Termo Aditivo, em conjunto com as regras de Reposicionamento Tarifário são suficientes à adequada prestação do serviço e à manutenção do equilíbrio econômico-financeiro deste CONTRATO.</w:t>
            </w:r>
          </w:p>
        </w:tc>
        <w:tc>
          <w:tcPr>
            <w:tcW w:w="0" w:type="auto"/>
            <w:gridSpan w:val="2"/>
            <w:vMerge/>
            <w:tcBorders>
              <w:top w:val="nil"/>
              <w:left w:val="single" w:sz="3" w:space="0" w:color="000000"/>
              <w:bottom w:val="nil"/>
              <w:right w:val="nil"/>
            </w:tcBorders>
          </w:tcPr>
          <w:p w14:paraId="0132C11D" w14:textId="77777777" w:rsidR="00541219" w:rsidRDefault="00541219">
            <w:pPr>
              <w:spacing w:after="160"/>
              <w:ind w:left="0" w:firstLine="0"/>
            </w:pPr>
          </w:p>
        </w:tc>
      </w:tr>
      <w:tr w:rsidR="00541219" w14:paraId="0504888D"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61E6F80B" w14:textId="77777777" w:rsidR="00541219" w:rsidRDefault="00000000">
            <w:pPr>
              <w:spacing w:after="0"/>
              <w:ind w:left="0" w:firstLine="0"/>
            </w:pPr>
            <w:r>
              <w:rPr>
                <w:sz w:val="7"/>
              </w:rPr>
              <w:t>Subcláusula Segunda – O Reposicionamento Tarifário consiste na decomposição da “Receita Requerida” em tarifas a serem cobradas dos usuários, e compreende os seguintes mecanismos previstos nesta cláusula: reajuste tarifário, revisão tarifária ordinária e revisão tarifária extraordinária.</w:t>
            </w:r>
          </w:p>
        </w:tc>
        <w:tc>
          <w:tcPr>
            <w:tcW w:w="0" w:type="auto"/>
            <w:gridSpan w:val="2"/>
            <w:vMerge/>
            <w:tcBorders>
              <w:top w:val="nil"/>
              <w:left w:val="single" w:sz="3" w:space="0" w:color="000000"/>
              <w:bottom w:val="nil"/>
              <w:right w:val="nil"/>
            </w:tcBorders>
          </w:tcPr>
          <w:p w14:paraId="74C6ADC0" w14:textId="77777777" w:rsidR="00541219" w:rsidRDefault="00541219">
            <w:pPr>
              <w:spacing w:after="160"/>
              <w:ind w:left="0" w:firstLine="0"/>
            </w:pPr>
          </w:p>
        </w:tc>
      </w:tr>
      <w:tr w:rsidR="00541219" w14:paraId="246D49BE"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19F74EFC" w14:textId="77777777" w:rsidR="00541219" w:rsidRDefault="00000000">
            <w:pPr>
              <w:spacing w:after="0"/>
              <w:ind w:left="497" w:firstLine="0"/>
            </w:pPr>
            <w:r>
              <w:rPr>
                <w:sz w:val="7"/>
              </w:rPr>
              <w:t>Parágrafo único – Os mecanismos de Reposicionamento Tarifário deverão observar a alocação de riscos definida da Cláusula Décima Quinta.</w:t>
            </w:r>
          </w:p>
        </w:tc>
        <w:tc>
          <w:tcPr>
            <w:tcW w:w="0" w:type="auto"/>
            <w:gridSpan w:val="2"/>
            <w:vMerge/>
            <w:tcBorders>
              <w:top w:val="nil"/>
              <w:left w:val="single" w:sz="3" w:space="0" w:color="000000"/>
              <w:bottom w:val="nil"/>
              <w:right w:val="nil"/>
            </w:tcBorders>
          </w:tcPr>
          <w:p w14:paraId="3F9DD125" w14:textId="77777777" w:rsidR="00541219" w:rsidRDefault="00541219">
            <w:pPr>
              <w:spacing w:after="160"/>
              <w:ind w:left="0" w:firstLine="0"/>
            </w:pPr>
          </w:p>
        </w:tc>
      </w:tr>
      <w:tr w:rsidR="00541219" w14:paraId="2DF45FE4" w14:textId="77777777">
        <w:trPr>
          <w:trHeight w:val="458"/>
        </w:trPr>
        <w:tc>
          <w:tcPr>
            <w:tcW w:w="3727" w:type="dxa"/>
            <w:tcBorders>
              <w:top w:val="single" w:sz="3" w:space="0" w:color="000000"/>
              <w:left w:val="single" w:sz="3" w:space="0" w:color="000000"/>
              <w:bottom w:val="single" w:sz="3" w:space="0" w:color="000000"/>
              <w:right w:val="single" w:sz="3" w:space="0" w:color="000000"/>
            </w:tcBorders>
          </w:tcPr>
          <w:p w14:paraId="0FB2B493" w14:textId="77777777" w:rsidR="00541219" w:rsidRDefault="00000000">
            <w:pPr>
              <w:spacing w:after="0"/>
              <w:ind w:left="0" w:right="14" w:firstLine="0"/>
            </w:pPr>
            <w:r>
              <w:rPr>
                <w:sz w:val="7"/>
              </w:rPr>
              <w:t>Subcláusula Terceira – Para fins de Reposicionamento Tarifário, a Receita Requerida não incluirá os tributos incidentes sobre as tarifas PIS/PASEP (Programa de Integração Social – Programa de Formação do Patrimônio do Servidor Público), COFINS (Contribuição para o Financiamento da Seguridade Social) e ICMS (Imposto sobre Operações relativas à Circulação de Mercadorias), e será composta por duas parcelas:</w:t>
            </w:r>
          </w:p>
        </w:tc>
        <w:tc>
          <w:tcPr>
            <w:tcW w:w="0" w:type="auto"/>
            <w:gridSpan w:val="2"/>
            <w:vMerge/>
            <w:tcBorders>
              <w:top w:val="nil"/>
              <w:left w:val="single" w:sz="3" w:space="0" w:color="000000"/>
              <w:bottom w:val="nil"/>
              <w:right w:val="nil"/>
            </w:tcBorders>
          </w:tcPr>
          <w:p w14:paraId="55C627DE" w14:textId="77777777" w:rsidR="00541219" w:rsidRDefault="00541219">
            <w:pPr>
              <w:spacing w:after="160"/>
              <w:ind w:left="0" w:firstLine="0"/>
            </w:pPr>
          </w:p>
        </w:tc>
      </w:tr>
      <w:tr w:rsidR="00541219" w14:paraId="5D84FFAB"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130F8B6B" w14:textId="77777777" w:rsidR="00541219" w:rsidRDefault="00000000">
            <w:pPr>
              <w:spacing w:after="0"/>
              <w:ind w:left="497" w:right="167" w:firstLine="0"/>
              <w:jc w:val="both"/>
            </w:pPr>
            <w:r>
              <w:rPr>
                <w:sz w:val="7"/>
              </w:rPr>
              <w:t xml:space="preserve">Parcela A: parcela da receita correspondente aos seguintes itens: i. Encargos Setoriais; </w:t>
            </w:r>
            <w:proofErr w:type="spellStart"/>
            <w:r>
              <w:rPr>
                <w:sz w:val="7"/>
              </w:rPr>
              <w:t>ii</w:t>
            </w:r>
            <w:proofErr w:type="spellEnd"/>
            <w:r>
              <w:rPr>
                <w:sz w:val="7"/>
              </w:rPr>
              <w:t xml:space="preserve">. Energia Elétrica Comprada; </w:t>
            </w:r>
            <w:proofErr w:type="spellStart"/>
            <w:r>
              <w:rPr>
                <w:sz w:val="7"/>
              </w:rPr>
              <w:t>iii</w:t>
            </w:r>
            <w:proofErr w:type="spellEnd"/>
            <w:r>
              <w:rPr>
                <w:sz w:val="7"/>
              </w:rPr>
              <w:t xml:space="preserve">. Custos de Conexão e de Uso das Instalações de Transmissão e/ou Distribuição de Energia Elétrica”; e </w:t>
            </w:r>
            <w:proofErr w:type="spellStart"/>
            <w:r>
              <w:rPr>
                <w:sz w:val="7"/>
              </w:rPr>
              <w:t>iv</w:t>
            </w:r>
            <w:proofErr w:type="spellEnd"/>
            <w:r>
              <w:rPr>
                <w:sz w:val="7"/>
              </w:rPr>
              <w:t>. Receitas Irrecuperáveis.</w:t>
            </w:r>
          </w:p>
        </w:tc>
        <w:tc>
          <w:tcPr>
            <w:tcW w:w="0" w:type="auto"/>
            <w:gridSpan w:val="2"/>
            <w:vMerge/>
            <w:tcBorders>
              <w:top w:val="nil"/>
              <w:left w:val="single" w:sz="3" w:space="0" w:color="000000"/>
              <w:bottom w:val="nil"/>
              <w:right w:val="nil"/>
            </w:tcBorders>
          </w:tcPr>
          <w:p w14:paraId="56643653" w14:textId="77777777" w:rsidR="00541219" w:rsidRDefault="00541219">
            <w:pPr>
              <w:spacing w:after="160"/>
              <w:ind w:left="0" w:firstLine="0"/>
            </w:pPr>
          </w:p>
        </w:tc>
      </w:tr>
      <w:tr w:rsidR="00541219" w14:paraId="2F9133A3"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52512414" w14:textId="77777777" w:rsidR="00541219" w:rsidRDefault="00000000">
            <w:pPr>
              <w:spacing w:after="0"/>
              <w:ind w:left="497" w:firstLine="0"/>
            </w:pPr>
            <w:r>
              <w:rPr>
                <w:sz w:val="7"/>
              </w:rPr>
              <w:t>Parcela B: parcela da receita associada a custos operacionais e de capital eficientes, inclusive despesas de depreciação, do segmento de distribuição de energia elétrica.</w:t>
            </w:r>
          </w:p>
        </w:tc>
        <w:tc>
          <w:tcPr>
            <w:tcW w:w="0" w:type="auto"/>
            <w:gridSpan w:val="2"/>
            <w:vMerge/>
            <w:tcBorders>
              <w:top w:val="nil"/>
              <w:left w:val="single" w:sz="3" w:space="0" w:color="000000"/>
              <w:bottom w:val="nil"/>
              <w:right w:val="nil"/>
            </w:tcBorders>
          </w:tcPr>
          <w:p w14:paraId="0DE1EEC2" w14:textId="77777777" w:rsidR="00541219" w:rsidRDefault="00541219">
            <w:pPr>
              <w:spacing w:after="160"/>
              <w:ind w:left="0" w:firstLine="0"/>
            </w:pPr>
          </w:p>
        </w:tc>
      </w:tr>
      <w:tr w:rsidR="00541219" w14:paraId="26DF4103" w14:textId="77777777">
        <w:trPr>
          <w:trHeight w:val="91"/>
        </w:trPr>
        <w:tc>
          <w:tcPr>
            <w:tcW w:w="3727" w:type="dxa"/>
            <w:tcBorders>
              <w:top w:val="single" w:sz="3" w:space="0" w:color="000000"/>
              <w:left w:val="single" w:sz="3" w:space="0" w:color="000000"/>
              <w:bottom w:val="single" w:sz="3" w:space="0" w:color="000000"/>
              <w:right w:val="single" w:sz="3" w:space="0" w:color="000000"/>
            </w:tcBorders>
          </w:tcPr>
          <w:p w14:paraId="7076BFAA" w14:textId="77777777" w:rsidR="00541219" w:rsidRDefault="00000000">
            <w:pPr>
              <w:spacing w:after="0"/>
              <w:ind w:left="497" w:firstLine="0"/>
            </w:pPr>
            <w:r>
              <w:rPr>
                <w:sz w:val="7"/>
              </w:rPr>
              <w:t>Onde:</w:t>
            </w:r>
          </w:p>
        </w:tc>
        <w:tc>
          <w:tcPr>
            <w:tcW w:w="0" w:type="auto"/>
            <w:gridSpan w:val="2"/>
            <w:vMerge/>
            <w:tcBorders>
              <w:top w:val="nil"/>
              <w:left w:val="single" w:sz="3" w:space="0" w:color="000000"/>
              <w:bottom w:val="nil"/>
              <w:right w:val="nil"/>
            </w:tcBorders>
          </w:tcPr>
          <w:p w14:paraId="16A3D997" w14:textId="77777777" w:rsidR="00541219" w:rsidRDefault="00541219">
            <w:pPr>
              <w:spacing w:after="160"/>
              <w:ind w:left="0" w:firstLine="0"/>
            </w:pPr>
          </w:p>
        </w:tc>
      </w:tr>
      <w:tr w:rsidR="00541219" w14:paraId="21D018B2" w14:textId="77777777">
        <w:trPr>
          <w:trHeight w:val="823"/>
        </w:trPr>
        <w:tc>
          <w:tcPr>
            <w:tcW w:w="3727" w:type="dxa"/>
            <w:tcBorders>
              <w:top w:val="single" w:sz="3" w:space="0" w:color="000000"/>
              <w:left w:val="single" w:sz="3" w:space="0" w:color="000000"/>
              <w:bottom w:val="single" w:sz="3" w:space="0" w:color="000000"/>
              <w:right w:val="single" w:sz="3" w:space="0" w:color="000000"/>
            </w:tcBorders>
          </w:tcPr>
          <w:p w14:paraId="5DCDCAAF" w14:textId="77777777" w:rsidR="00541219" w:rsidRDefault="00000000">
            <w:pPr>
              <w:spacing w:after="0" w:line="254" w:lineRule="auto"/>
              <w:ind w:left="497" w:right="7" w:firstLine="0"/>
            </w:pPr>
            <w:r>
              <w:rPr>
                <w:sz w:val="7"/>
              </w:rPr>
              <w:t xml:space="preserve">Parcela A – Encargos Setoriais: parcela da receita da DISTRIBUIDORA destinada ao cumprimento das obrigações associadas à Taxa de Fiscalização de Serviços de Energia Elétrica - TFSEE; à Compensação Financeira pela Utilização de Recursos Hídricos - CFURH para fins de geração de energia elétrica, quando aplicável; ao Encargo de Serviços do Sistema - ESS; à Conta de Desenvolvimento Energético – CDE; à Pesquisa, Desenvolvimento e Inovação – PDI; ao Programa de Eficiência Energética – PEE; ao Encargo de Energia de Reserva – EER, pagamentos de empréstimos da Reserva Global de Reversão – RGR, realizados em </w:t>
            </w:r>
          </w:p>
          <w:p w14:paraId="3AE57710" w14:textId="77777777" w:rsidR="00541219" w:rsidRDefault="00000000">
            <w:pPr>
              <w:spacing w:after="0"/>
              <w:ind w:left="497" w:firstLine="0"/>
            </w:pPr>
            <w:r>
              <w:rPr>
                <w:sz w:val="7"/>
              </w:rPr>
              <w:t>conformidade com o art. 4o, § 4o, inciso VI, da Lei no 5.655, de 20 de maio de 1971 e as demais políticas públicas para o setor elétrico definidas na legislação superveniente;</w:t>
            </w:r>
          </w:p>
        </w:tc>
        <w:tc>
          <w:tcPr>
            <w:tcW w:w="0" w:type="auto"/>
            <w:gridSpan w:val="2"/>
            <w:vMerge/>
            <w:tcBorders>
              <w:top w:val="nil"/>
              <w:left w:val="single" w:sz="3" w:space="0" w:color="000000"/>
              <w:bottom w:val="nil"/>
              <w:right w:val="nil"/>
            </w:tcBorders>
          </w:tcPr>
          <w:p w14:paraId="10157256" w14:textId="77777777" w:rsidR="00541219" w:rsidRDefault="00541219">
            <w:pPr>
              <w:spacing w:after="160"/>
              <w:ind w:left="0" w:firstLine="0"/>
            </w:pPr>
          </w:p>
        </w:tc>
      </w:tr>
    </w:tbl>
    <w:p w14:paraId="47503B22" w14:textId="77777777" w:rsidR="00541219" w:rsidRDefault="00541219">
      <w:pPr>
        <w:spacing w:after="0"/>
        <w:ind w:left="-1440" w:right="8527" w:firstLine="0"/>
      </w:pPr>
    </w:p>
    <w:tbl>
      <w:tblPr>
        <w:tblStyle w:val="TableGrid"/>
        <w:tblW w:w="10240" w:type="dxa"/>
        <w:tblInd w:w="-688" w:type="dxa"/>
        <w:tblCellMar>
          <w:top w:w="0" w:type="dxa"/>
          <w:left w:w="19" w:type="dxa"/>
          <w:bottom w:w="0" w:type="dxa"/>
          <w:right w:w="18" w:type="dxa"/>
        </w:tblCellMar>
        <w:tblLook w:val="04A0" w:firstRow="1" w:lastRow="0" w:firstColumn="1" w:lastColumn="0" w:noHBand="0" w:noVBand="1"/>
      </w:tblPr>
      <w:tblGrid>
        <w:gridCol w:w="3726"/>
        <w:gridCol w:w="3041"/>
        <w:gridCol w:w="3473"/>
      </w:tblGrid>
      <w:tr w:rsidR="00541219" w14:paraId="56D94014" w14:textId="77777777">
        <w:trPr>
          <w:trHeight w:val="145"/>
        </w:trPr>
        <w:tc>
          <w:tcPr>
            <w:tcW w:w="10240" w:type="dxa"/>
            <w:gridSpan w:val="3"/>
            <w:tcBorders>
              <w:top w:val="single" w:sz="6" w:space="0" w:color="000000"/>
              <w:left w:val="single" w:sz="6" w:space="0" w:color="000000"/>
              <w:bottom w:val="single" w:sz="3" w:space="0" w:color="000000"/>
              <w:right w:val="single" w:sz="6" w:space="0" w:color="000000"/>
            </w:tcBorders>
          </w:tcPr>
          <w:p w14:paraId="6BF9525A" w14:textId="77777777" w:rsidR="00541219" w:rsidRDefault="00000000">
            <w:pPr>
              <w:spacing w:after="0"/>
              <w:ind w:left="14" w:firstLine="0"/>
              <w:jc w:val="center"/>
            </w:pPr>
            <w:r>
              <w:rPr>
                <w:color w:val="0000FF"/>
                <w:sz w:val="12"/>
              </w:rPr>
              <w:t>CONTRIBUIÇÃO REFERENTE À CONSULTA PÚBLICA Nº 27/2024</w:t>
            </w:r>
          </w:p>
        </w:tc>
      </w:tr>
      <w:tr w:rsidR="00541219" w14:paraId="20576169" w14:textId="77777777">
        <w:trPr>
          <w:trHeight w:val="144"/>
        </w:trPr>
        <w:tc>
          <w:tcPr>
            <w:tcW w:w="10240" w:type="dxa"/>
            <w:gridSpan w:val="3"/>
            <w:tcBorders>
              <w:top w:val="single" w:sz="3" w:space="0" w:color="000000"/>
              <w:left w:val="single" w:sz="6" w:space="0" w:color="000000"/>
              <w:bottom w:val="single" w:sz="3" w:space="0" w:color="000000"/>
              <w:right w:val="single" w:sz="6" w:space="0" w:color="000000"/>
            </w:tcBorders>
          </w:tcPr>
          <w:p w14:paraId="677C22FE" w14:textId="5058EADE" w:rsidR="00541219" w:rsidRDefault="00000000">
            <w:pPr>
              <w:spacing w:after="0"/>
              <w:ind w:left="0" w:firstLine="0"/>
              <w:jc w:val="center"/>
            </w:pPr>
            <w:r>
              <w:rPr>
                <w:color w:val="0000FF"/>
                <w:sz w:val="12"/>
              </w:rPr>
              <w:t xml:space="preserve">NOME DA INSTITUIÇÃO: </w:t>
            </w:r>
            <w:r w:rsidR="006E308E">
              <w:rPr>
                <w:color w:val="0000FF"/>
                <w:sz w:val="12"/>
              </w:rPr>
              <w:t>Conselho de Consumidores da Área de Concessão da Energisa no Mato Grosso do Sul – CONCEN-MS</w:t>
            </w:r>
          </w:p>
        </w:tc>
      </w:tr>
      <w:tr w:rsidR="00541219" w14:paraId="77D12BE4" w14:textId="77777777">
        <w:trPr>
          <w:trHeight w:val="144"/>
        </w:trPr>
        <w:tc>
          <w:tcPr>
            <w:tcW w:w="10240" w:type="dxa"/>
            <w:gridSpan w:val="3"/>
            <w:tcBorders>
              <w:top w:val="single" w:sz="3" w:space="0" w:color="000000"/>
              <w:left w:val="single" w:sz="6" w:space="0" w:color="000000"/>
              <w:bottom w:val="single" w:sz="3" w:space="0" w:color="000000"/>
              <w:right w:val="single" w:sz="6" w:space="0" w:color="000000"/>
            </w:tcBorders>
          </w:tcPr>
          <w:p w14:paraId="5340CBA4" w14:textId="77777777" w:rsidR="00541219" w:rsidRDefault="00000000">
            <w:pPr>
              <w:tabs>
                <w:tab w:val="center" w:pos="728"/>
                <w:tab w:val="center" w:pos="5110"/>
              </w:tabs>
              <w:spacing w:after="0"/>
              <w:ind w:left="0" w:firstLine="0"/>
            </w:pPr>
            <w:r>
              <w:rPr>
                <w:rFonts w:ascii="Calibri" w:eastAsia="Calibri" w:hAnsi="Calibri" w:cs="Calibri"/>
                <w:sz w:val="22"/>
              </w:rPr>
              <w:tab/>
            </w:r>
            <w:r>
              <w:rPr>
                <w:noProof/>
              </w:rPr>
              <w:drawing>
                <wp:inline distT="0" distB="0" distL="0" distR="0" wp14:anchorId="6C8EA04F" wp14:editId="36A8EF8F">
                  <wp:extent cx="559308" cy="344424"/>
                  <wp:effectExtent l="0" t="0" r="0" b="0"/>
                  <wp:docPr id="6105" name="Picture 6105"/>
                  <wp:cNvGraphicFramePr/>
                  <a:graphic xmlns:a="http://schemas.openxmlformats.org/drawingml/2006/main">
                    <a:graphicData uri="http://schemas.openxmlformats.org/drawingml/2006/picture">
                      <pic:pic xmlns:pic="http://schemas.openxmlformats.org/drawingml/2006/picture">
                        <pic:nvPicPr>
                          <pic:cNvPr id="6105" name="Picture 6105"/>
                          <pic:cNvPicPr/>
                        </pic:nvPicPr>
                        <pic:blipFill>
                          <a:blip r:embed="rId5"/>
                          <a:stretch>
                            <a:fillRect/>
                          </a:stretch>
                        </pic:blipFill>
                        <pic:spPr>
                          <a:xfrm>
                            <a:off x="0" y="0"/>
                            <a:ext cx="559308" cy="344424"/>
                          </a:xfrm>
                          <a:prstGeom prst="rect">
                            <a:avLst/>
                          </a:prstGeom>
                        </pic:spPr>
                      </pic:pic>
                    </a:graphicData>
                  </a:graphic>
                </wp:inline>
              </w:drawing>
            </w:r>
            <w:r>
              <w:rPr>
                <w:color w:val="0000FF"/>
                <w:sz w:val="12"/>
              </w:rPr>
              <w:tab/>
              <w:t>AGÊNCIA NACIONAL DE ENERGIA ELÉTRICA – ANEEL</w:t>
            </w:r>
          </w:p>
        </w:tc>
      </w:tr>
      <w:tr w:rsidR="00541219" w14:paraId="0DC386BB" w14:textId="77777777">
        <w:trPr>
          <w:trHeight w:val="173"/>
        </w:trPr>
        <w:tc>
          <w:tcPr>
            <w:tcW w:w="10240" w:type="dxa"/>
            <w:gridSpan w:val="3"/>
            <w:tcBorders>
              <w:top w:val="single" w:sz="3" w:space="0" w:color="000000"/>
              <w:left w:val="single" w:sz="6" w:space="0" w:color="000000"/>
              <w:bottom w:val="single" w:sz="3" w:space="0" w:color="000000"/>
              <w:right w:val="single" w:sz="6" w:space="0" w:color="000000"/>
            </w:tcBorders>
          </w:tcPr>
          <w:p w14:paraId="2E8DB773" w14:textId="77777777" w:rsidR="00541219" w:rsidRDefault="00000000">
            <w:pPr>
              <w:spacing w:after="0"/>
              <w:ind w:left="12" w:firstLine="0"/>
              <w:jc w:val="center"/>
            </w:pPr>
            <w:r>
              <w:rPr>
                <w:color w:val="0000FF"/>
              </w:rPr>
              <w:t>ATO REGULATÓRIO: TERMO ADITIVO AO CONTRATO DE CONCESSÃO DE SERVIÇO PÚBLICO DE DISTRIBUIÇÃO DE ENERGIA ELÉTRICA No XX/XX-ANEEL</w:t>
            </w:r>
          </w:p>
        </w:tc>
      </w:tr>
      <w:tr w:rsidR="00541219" w14:paraId="25B9255D" w14:textId="77777777">
        <w:trPr>
          <w:trHeight w:val="187"/>
        </w:trPr>
        <w:tc>
          <w:tcPr>
            <w:tcW w:w="10240" w:type="dxa"/>
            <w:gridSpan w:val="3"/>
            <w:tcBorders>
              <w:top w:val="single" w:sz="3" w:space="0" w:color="000000"/>
              <w:left w:val="single" w:sz="6" w:space="0" w:color="000000"/>
              <w:bottom w:val="single" w:sz="3" w:space="0" w:color="000000"/>
              <w:right w:val="single" w:sz="6" w:space="0" w:color="000000"/>
            </w:tcBorders>
          </w:tcPr>
          <w:p w14:paraId="21146025" w14:textId="77777777" w:rsidR="00541219" w:rsidRDefault="00000000">
            <w:pPr>
              <w:spacing w:after="0"/>
              <w:ind w:left="2" w:firstLine="0"/>
              <w:jc w:val="center"/>
            </w:pPr>
            <w:r>
              <w:rPr>
                <w:color w:val="0000FF"/>
              </w:rPr>
              <w:t xml:space="preserve">                                                               EMENTA: Obter subsídios para o aprimoramento da minuta de termo aditivo ao contrato de concessão de distribuição de energia elétrica com vistas à prorrogação das concessões.</w:t>
            </w:r>
          </w:p>
        </w:tc>
      </w:tr>
      <w:tr w:rsidR="00541219" w14:paraId="53FDE4FB" w14:textId="77777777">
        <w:trPr>
          <w:trHeight w:val="130"/>
        </w:trPr>
        <w:tc>
          <w:tcPr>
            <w:tcW w:w="10240" w:type="dxa"/>
            <w:gridSpan w:val="3"/>
            <w:tcBorders>
              <w:top w:val="single" w:sz="3" w:space="0" w:color="000000"/>
              <w:left w:val="single" w:sz="6" w:space="0" w:color="000000"/>
              <w:bottom w:val="single" w:sz="3" w:space="0" w:color="000000"/>
              <w:right w:val="single" w:sz="6" w:space="0" w:color="000000"/>
            </w:tcBorders>
          </w:tcPr>
          <w:p w14:paraId="4ADB23EC" w14:textId="77777777" w:rsidR="00541219" w:rsidRDefault="00000000">
            <w:pPr>
              <w:spacing w:after="0"/>
              <w:ind w:left="0" w:right="2" w:firstLine="0"/>
              <w:jc w:val="center"/>
            </w:pPr>
            <w:r>
              <w:rPr>
                <w:color w:val="0000FF"/>
                <w:sz w:val="10"/>
              </w:rPr>
              <w:t>CONTRIBUIÇÕES RECEBIDAS</w:t>
            </w:r>
          </w:p>
        </w:tc>
      </w:tr>
      <w:tr w:rsidR="00541219" w14:paraId="7CCF7349" w14:textId="77777777">
        <w:trPr>
          <w:trHeight w:val="268"/>
        </w:trPr>
        <w:tc>
          <w:tcPr>
            <w:tcW w:w="10240" w:type="dxa"/>
            <w:gridSpan w:val="3"/>
            <w:tcBorders>
              <w:top w:val="single" w:sz="3" w:space="0" w:color="000000"/>
              <w:left w:val="single" w:sz="6" w:space="0" w:color="000000"/>
              <w:bottom w:val="single" w:sz="6" w:space="0" w:color="000000"/>
              <w:right w:val="single" w:sz="6" w:space="0" w:color="000000"/>
            </w:tcBorders>
          </w:tcPr>
          <w:p w14:paraId="4E465FA1" w14:textId="77777777" w:rsidR="00541219" w:rsidRDefault="00000000">
            <w:pPr>
              <w:spacing w:after="0"/>
              <w:ind w:left="0" w:firstLine="0"/>
            </w:pPr>
            <w:r>
              <w:t>IMPORTANTE: Os comentários e sugestões referentes às contribuições deverão ser fundamentados e justificados, mencionando-se os artigos, parágrafos e incisos a que se referem, devendo ser acompanhados de textos alternativos e substitutivos quando envolverem sugestões de inclusão ou alteração, parcial ou total, de qualquer dispositivo.</w:t>
            </w:r>
          </w:p>
        </w:tc>
      </w:tr>
      <w:tr w:rsidR="00541219" w14:paraId="3D75B0FB" w14:textId="77777777">
        <w:trPr>
          <w:trHeight w:val="209"/>
        </w:trPr>
        <w:tc>
          <w:tcPr>
            <w:tcW w:w="3727" w:type="dxa"/>
            <w:tcBorders>
              <w:top w:val="single" w:sz="6" w:space="0" w:color="000000"/>
              <w:left w:val="single" w:sz="6" w:space="0" w:color="000000"/>
              <w:bottom w:val="double" w:sz="4" w:space="0" w:color="000000"/>
              <w:right w:val="single" w:sz="6" w:space="0" w:color="000000"/>
            </w:tcBorders>
            <w:shd w:val="clear" w:color="auto" w:fill="FF0000"/>
          </w:tcPr>
          <w:p w14:paraId="3D86A285" w14:textId="77777777" w:rsidR="00541219" w:rsidRDefault="00000000">
            <w:pPr>
              <w:spacing w:after="0"/>
              <w:ind w:left="0" w:right="1" w:firstLine="0"/>
              <w:jc w:val="center"/>
            </w:pPr>
            <w:r>
              <w:rPr>
                <w:color w:val="FFFFFF"/>
                <w:sz w:val="10"/>
              </w:rPr>
              <w:t xml:space="preserve">TEXTO/ANEEL </w:t>
            </w:r>
          </w:p>
        </w:tc>
        <w:tc>
          <w:tcPr>
            <w:tcW w:w="3041" w:type="dxa"/>
            <w:tcBorders>
              <w:top w:val="single" w:sz="6" w:space="0" w:color="000000"/>
              <w:left w:val="single" w:sz="6" w:space="0" w:color="000000"/>
              <w:bottom w:val="single" w:sz="6" w:space="0" w:color="000000"/>
              <w:right w:val="single" w:sz="6" w:space="0" w:color="000000"/>
            </w:tcBorders>
            <w:shd w:val="clear" w:color="auto" w:fill="FF0000"/>
          </w:tcPr>
          <w:p w14:paraId="71158A7A" w14:textId="77777777" w:rsidR="00541219" w:rsidRDefault="00000000">
            <w:pPr>
              <w:spacing w:after="0"/>
              <w:ind w:left="5" w:firstLine="0"/>
              <w:jc w:val="center"/>
            </w:pPr>
            <w:r>
              <w:rPr>
                <w:color w:val="FFFFFF"/>
                <w:sz w:val="10"/>
              </w:rPr>
              <w:t>TEXTO/INSTITUIÇÃO</w:t>
            </w:r>
          </w:p>
        </w:tc>
        <w:tc>
          <w:tcPr>
            <w:tcW w:w="3473" w:type="dxa"/>
            <w:tcBorders>
              <w:top w:val="single" w:sz="6" w:space="0" w:color="000000"/>
              <w:left w:val="single" w:sz="6" w:space="0" w:color="000000"/>
              <w:bottom w:val="single" w:sz="6" w:space="0" w:color="000000"/>
              <w:right w:val="single" w:sz="6" w:space="0" w:color="000000"/>
            </w:tcBorders>
            <w:shd w:val="clear" w:color="auto" w:fill="FF0000"/>
          </w:tcPr>
          <w:p w14:paraId="626E5311" w14:textId="77777777" w:rsidR="00541219" w:rsidRDefault="00000000">
            <w:pPr>
              <w:spacing w:after="0"/>
              <w:ind w:left="2" w:firstLine="0"/>
              <w:jc w:val="center"/>
            </w:pPr>
            <w:r>
              <w:rPr>
                <w:color w:val="FFFFFF"/>
                <w:sz w:val="10"/>
              </w:rPr>
              <w:t>JUSTIFICATIVA/INSTITUIÇÃO</w:t>
            </w:r>
          </w:p>
        </w:tc>
      </w:tr>
      <w:tr w:rsidR="00541219" w14:paraId="79067E01" w14:textId="77777777">
        <w:trPr>
          <w:trHeight w:val="470"/>
        </w:trPr>
        <w:tc>
          <w:tcPr>
            <w:tcW w:w="3727" w:type="dxa"/>
            <w:tcBorders>
              <w:top w:val="double" w:sz="4" w:space="0" w:color="000000"/>
              <w:left w:val="single" w:sz="3" w:space="0" w:color="000000"/>
              <w:bottom w:val="single" w:sz="3" w:space="0" w:color="000000"/>
              <w:right w:val="single" w:sz="3" w:space="0" w:color="000000"/>
            </w:tcBorders>
          </w:tcPr>
          <w:p w14:paraId="6713660C" w14:textId="77777777" w:rsidR="00541219" w:rsidRDefault="00000000">
            <w:pPr>
              <w:spacing w:after="0"/>
              <w:ind w:left="497" w:firstLine="0"/>
            </w:pPr>
            <w:r>
              <w:rPr>
                <w:sz w:val="7"/>
              </w:rPr>
              <w:t>Parcela A – Energia Elétrica Comprada: parcela da receita da DISTRIBUIDORA associada à compra de energia elétrica, inclusive proveniente de empreendimentos próprios de geração, para o atendimento a seus consumidores e outras concessionárias e permissionárias de distribuição, considerando o nível regulatório de perdas de energia elétrica do sistema de distribuição e de transmissão, observado o disposto na Subcláusula Sétima desta Cláusula;</w:t>
            </w:r>
          </w:p>
        </w:tc>
        <w:tc>
          <w:tcPr>
            <w:tcW w:w="6514" w:type="dxa"/>
            <w:gridSpan w:val="2"/>
            <w:vMerge w:val="restart"/>
            <w:tcBorders>
              <w:top w:val="single" w:sz="6" w:space="0" w:color="000000"/>
              <w:left w:val="single" w:sz="3" w:space="0" w:color="000000"/>
              <w:bottom w:val="single" w:sz="3" w:space="0" w:color="000000"/>
              <w:right w:val="nil"/>
            </w:tcBorders>
          </w:tcPr>
          <w:p w14:paraId="6E3EC488" w14:textId="77777777" w:rsidR="00541219" w:rsidRDefault="00541219">
            <w:pPr>
              <w:spacing w:after="160"/>
              <w:ind w:left="0" w:firstLine="0"/>
            </w:pPr>
          </w:p>
        </w:tc>
      </w:tr>
      <w:tr w:rsidR="00541219" w14:paraId="68E037A5" w14:textId="77777777">
        <w:trPr>
          <w:trHeight w:val="458"/>
        </w:trPr>
        <w:tc>
          <w:tcPr>
            <w:tcW w:w="3727" w:type="dxa"/>
            <w:tcBorders>
              <w:top w:val="single" w:sz="3" w:space="0" w:color="000000"/>
              <w:left w:val="single" w:sz="3" w:space="0" w:color="000000"/>
              <w:bottom w:val="single" w:sz="3" w:space="0" w:color="000000"/>
              <w:right w:val="single" w:sz="3" w:space="0" w:color="000000"/>
            </w:tcBorders>
          </w:tcPr>
          <w:p w14:paraId="091CDC16" w14:textId="77777777" w:rsidR="00541219" w:rsidRDefault="00000000">
            <w:pPr>
              <w:spacing w:after="0"/>
              <w:ind w:left="497" w:firstLine="0"/>
            </w:pPr>
            <w:r>
              <w:rPr>
                <w:sz w:val="7"/>
              </w:rPr>
              <w:lastRenderedPageBreak/>
              <w:t>Parcela A – Custos de Conexão e de Uso das Instalações de Transmissão e/ou Distribuição de Energia Elétrica: parcela da receita da DISTRIBUIDORA associada à contratação eficiente de montantes de uso dos sistemas de transmissão e de distribuição e de pontos de conexão ou contratações de terceiros cuja responsabilidade pelo pagamento seja da DISTRIBUIDORA, excluindo-se o custeio orçamentário do ONS; e</w:t>
            </w:r>
          </w:p>
        </w:tc>
        <w:tc>
          <w:tcPr>
            <w:tcW w:w="0" w:type="auto"/>
            <w:gridSpan w:val="2"/>
            <w:vMerge/>
            <w:tcBorders>
              <w:top w:val="nil"/>
              <w:left w:val="single" w:sz="3" w:space="0" w:color="000000"/>
              <w:bottom w:val="nil"/>
              <w:right w:val="nil"/>
            </w:tcBorders>
          </w:tcPr>
          <w:p w14:paraId="3333E4E0" w14:textId="77777777" w:rsidR="00541219" w:rsidRDefault="00541219">
            <w:pPr>
              <w:spacing w:after="160"/>
              <w:ind w:left="0" w:firstLine="0"/>
            </w:pPr>
          </w:p>
        </w:tc>
      </w:tr>
      <w:tr w:rsidR="00541219" w14:paraId="752ACB31" w14:textId="77777777">
        <w:trPr>
          <w:trHeight w:val="365"/>
        </w:trPr>
        <w:tc>
          <w:tcPr>
            <w:tcW w:w="3727" w:type="dxa"/>
            <w:tcBorders>
              <w:top w:val="single" w:sz="3" w:space="0" w:color="000000"/>
              <w:left w:val="single" w:sz="3" w:space="0" w:color="000000"/>
              <w:bottom w:val="single" w:sz="3" w:space="0" w:color="000000"/>
              <w:right w:val="single" w:sz="3" w:space="0" w:color="000000"/>
            </w:tcBorders>
          </w:tcPr>
          <w:p w14:paraId="7CC39FB6" w14:textId="77777777" w:rsidR="00541219" w:rsidRDefault="00000000">
            <w:pPr>
              <w:spacing w:after="0"/>
              <w:ind w:left="497" w:firstLine="0"/>
            </w:pPr>
            <w:r>
              <w:rPr>
                <w:sz w:val="7"/>
              </w:rPr>
              <w:t>Parcela A – Receitas Irrecuperáveis: parcela da receita da DISTRIBUIDORA associada à parte residual, de improvável recuperação, da inadimplência dos usuários do sistema de distribuição, calculada pelo produto entre a receita bruta e os percentuais regulatórios de receitas irrecuperáveis, observado o disposto na Subcláusula Oitava desta Cláusula.</w:t>
            </w:r>
          </w:p>
        </w:tc>
        <w:tc>
          <w:tcPr>
            <w:tcW w:w="0" w:type="auto"/>
            <w:gridSpan w:val="2"/>
            <w:vMerge/>
            <w:tcBorders>
              <w:top w:val="nil"/>
              <w:left w:val="single" w:sz="3" w:space="0" w:color="000000"/>
              <w:bottom w:val="nil"/>
              <w:right w:val="nil"/>
            </w:tcBorders>
          </w:tcPr>
          <w:p w14:paraId="77D30319" w14:textId="77777777" w:rsidR="00541219" w:rsidRDefault="00541219">
            <w:pPr>
              <w:spacing w:after="160"/>
              <w:ind w:left="0" w:firstLine="0"/>
            </w:pPr>
          </w:p>
        </w:tc>
      </w:tr>
      <w:tr w:rsidR="00541219" w14:paraId="27C25EC8" w14:textId="77777777">
        <w:trPr>
          <w:trHeight w:val="91"/>
        </w:trPr>
        <w:tc>
          <w:tcPr>
            <w:tcW w:w="3727" w:type="dxa"/>
            <w:tcBorders>
              <w:top w:val="single" w:sz="3" w:space="0" w:color="000000"/>
              <w:left w:val="single" w:sz="3" w:space="0" w:color="000000"/>
              <w:bottom w:val="single" w:sz="3" w:space="0" w:color="000000"/>
              <w:right w:val="single" w:sz="3" w:space="0" w:color="000000"/>
            </w:tcBorders>
          </w:tcPr>
          <w:p w14:paraId="05C21369" w14:textId="77777777" w:rsidR="00541219" w:rsidRDefault="00000000">
            <w:pPr>
              <w:spacing w:after="0"/>
              <w:ind w:left="0" w:firstLine="0"/>
            </w:pPr>
            <w:r>
              <w:rPr>
                <w:sz w:val="7"/>
              </w:rPr>
              <w:t>Subcláusula Quarta – O custeio orçamentário do ONS será tratado como item de Parcela B.</w:t>
            </w:r>
          </w:p>
        </w:tc>
        <w:tc>
          <w:tcPr>
            <w:tcW w:w="0" w:type="auto"/>
            <w:gridSpan w:val="2"/>
            <w:vMerge/>
            <w:tcBorders>
              <w:top w:val="nil"/>
              <w:left w:val="single" w:sz="3" w:space="0" w:color="000000"/>
              <w:bottom w:val="nil"/>
              <w:right w:val="nil"/>
            </w:tcBorders>
          </w:tcPr>
          <w:p w14:paraId="016F5952" w14:textId="77777777" w:rsidR="00541219" w:rsidRDefault="00541219">
            <w:pPr>
              <w:spacing w:after="160"/>
              <w:ind w:left="0" w:firstLine="0"/>
            </w:pPr>
          </w:p>
        </w:tc>
      </w:tr>
      <w:tr w:rsidR="00541219" w14:paraId="13CB84E7"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66BAD6C7" w14:textId="77777777" w:rsidR="00541219" w:rsidRDefault="00000000">
            <w:pPr>
              <w:spacing w:after="0"/>
              <w:ind w:left="0" w:right="42" w:firstLine="0"/>
              <w:jc w:val="both"/>
            </w:pPr>
            <w:r>
              <w:rPr>
                <w:sz w:val="7"/>
              </w:rPr>
              <w:t xml:space="preserve">Subcláusula Quinta – O reajuste tarifário ocorrerá de modo ordinário com periodicidade anual, a partir de </w:t>
            </w:r>
            <w:proofErr w:type="spellStart"/>
            <w:r>
              <w:rPr>
                <w:sz w:val="7"/>
              </w:rPr>
              <w:t>xx</w:t>
            </w:r>
            <w:proofErr w:type="spellEnd"/>
            <w:r>
              <w:rPr>
                <w:sz w:val="7"/>
              </w:rPr>
              <w:t>/</w:t>
            </w:r>
            <w:proofErr w:type="spellStart"/>
            <w:r>
              <w:rPr>
                <w:sz w:val="7"/>
              </w:rPr>
              <w:t>xx</w:t>
            </w:r>
            <w:proofErr w:type="spellEnd"/>
            <w:r>
              <w:rPr>
                <w:sz w:val="7"/>
              </w:rPr>
              <w:t>/</w:t>
            </w:r>
            <w:proofErr w:type="spellStart"/>
            <w:r>
              <w:rPr>
                <w:sz w:val="7"/>
              </w:rPr>
              <w:t>xxx</w:t>
            </w:r>
            <w:proofErr w:type="spellEnd"/>
            <w:r>
              <w:rPr>
                <w:sz w:val="7"/>
              </w:rPr>
              <w:t>, exceto nos anos em que ocorra revisão tarifária ordinária, conforme calendário definido na Subcláusula Décima Terceira desta Cláusula.</w:t>
            </w:r>
          </w:p>
        </w:tc>
        <w:tc>
          <w:tcPr>
            <w:tcW w:w="0" w:type="auto"/>
            <w:gridSpan w:val="2"/>
            <w:vMerge/>
            <w:tcBorders>
              <w:top w:val="nil"/>
              <w:left w:val="single" w:sz="3" w:space="0" w:color="000000"/>
              <w:bottom w:val="nil"/>
              <w:right w:val="nil"/>
            </w:tcBorders>
          </w:tcPr>
          <w:p w14:paraId="28CE7782" w14:textId="77777777" w:rsidR="00541219" w:rsidRDefault="00541219">
            <w:pPr>
              <w:spacing w:after="160"/>
              <w:ind w:left="0" w:firstLine="0"/>
            </w:pPr>
          </w:p>
        </w:tc>
      </w:tr>
      <w:tr w:rsidR="00541219" w14:paraId="604CA5B8"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01B6611F" w14:textId="77777777" w:rsidR="00541219" w:rsidRDefault="00000000">
            <w:pPr>
              <w:spacing w:after="0"/>
              <w:ind w:left="0" w:firstLine="0"/>
              <w:jc w:val="both"/>
            </w:pPr>
            <w:r>
              <w:rPr>
                <w:sz w:val="7"/>
              </w:rPr>
              <w:t>Subcláusula Sexta – No primeiro reposicionamento tarifário posterior à assinatura do CONTRATO serão aplicadas as regras de reajuste e revisão tarifários conforme regulamentação da ANEEL.</w:t>
            </w:r>
          </w:p>
        </w:tc>
        <w:tc>
          <w:tcPr>
            <w:tcW w:w="0" w:type="auto"/>
            <w:gridSpan w:val="2"/>
            <w:vMerge/>
            <w:tcBorders>
              <w:top w:val="nil"/>
              <w:left w:val="single" w:sz="3" w:space="0" w:color="000000"/>
              <w:bottom w:val="nil"/>
              <w:right w:val="nil"/>
            </w:tcBorders>
          </w:tcPr>
          <w:p w14:paraId="4CB89583" w14:textId="77777777" w:rsidR="00541219" w:rsidRDefault="00541219">
            <w:pPr>
              <w:spacing w:after="160"/>
              <w:ind w:left="0" w:firstLine="0"/>
            </w:pPr>
          </w:p>
        </w:tc>
      </w:tr>
      <w:tr w:rsidR="00541219" w14:paraId="7FF40F52"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777E8099" w14:textId="77777777" w:rsidR="00541219" w:rsidRDefault="00000000">
            <w:pPr>
              <w:spacing w:after="0"/>
              <w:ind w:left="0" w:right="334" w:firstLine="0"/>
              <w:jc w:val="both"/>
            </w:pPr>
            <w:r>
              <w:rPr>
                <w:sz w:val="7"/>
              </w:rPr>
              <w:t>Subcláusula Sétima – Nos reajustes tarifários anuais a Receita Requerida será calculada pela seguinte equação:</w:t>
            </w:r>
          </w:p>
        </w:tc>
        <w:tc>
          <w:tcPr>
            <w:tcW w:w="0" w:type="auto"/>
            <w:gridSpan w:val="2"/>
            <w:vMerge/>
            <w:tcBorders>
              <w:top w:val="nil"/>
              <w:left w:val="single" w:sz="3" w:space="0" w:color="000000"/>
              <w:bottom w:val="nil"/>
              <w:right w:val="nil"/>
            </w:tcBorders>
          </w:tcPr>
          <w:p w14:paraId="4B1857FB" w14:textId="77777777" w:rsidR="00541219" w:rsidRDefault="00541219">
            <w:pPr>
              <w:spacing w:after="160"/>
              <w:ind w:left="0" w:firstLine="0"/>
            </w:pPr>
          </w:p>
        </w:tc>
      </w:tr>
      <w:tr w:rsidR="00541219" w14:paraId="3042BE29" w14:textId="77777777">
        <w:trPr>
          <w:trHeight w:val="144"/>
        </w:trPr>
        <w:tc>
          <w:tcPr>
            <w:tcW w:w="3727" w:type="dxa"/>
            <w:tcBorders>
              <w:top w:val="single" w:sz="3" w:space="0" w:color="000000"/>
              <w:left w:val="single" w:sz="3" w:space="0" w:color="000000"/>
              <w:bottom w:val="single" w:sz="3" w:space="0" w:color="000000"/>
              <w:right w:val="single" w:sz="3" w:space="0" w:color="000000"/>
            </w:tcBorders>
          </w:tcPr>
          <w:p w14:paraId="50FCC682" w14:textId="77777777" w:rsidR="00541219" w:rsidRDefault="00000000">
            <w:pPr>
              <w:spacing w:after="0"/>
              <w:ind w:left="0" w:right="1" w:firstLine="0"/>
              <w:jc w:val="center"/>
            </w:pPr>
            <w:r>
              <w:rPr>
                <w:sz w:val="12"/>
              </w:rPr>
              <w:t>RR =VPA+VPB</w:t>
            </w:r>
          </w:p>
        </w:tc>
        <w:tc>
          <w:tcPr>
            <w:tcW w:w="0" w:type="auto"/>
            <w:gridSpan w:val="2"/>
            <w:vMerge/>
            <w:tcBorders>
              <w:top w:val="nil"/>
              <w:left w:val="single" w:sz="3" w:space="0" w:color="000000"/>
              <w:bottom w:val="nil"/>
              <w:right w:val="nil"/>
            </w:tcBorders>
          </w:tcPr>
          <w:p w14:paraId="0C583DAD" w14:textId="77777777" w:rsidR="00541219" w:rsidRDefault="00541219">
            <w:pPr>
              <w:spacing w:after="160"/>
              <w:ind w:left="0" w:firstLine="0"/>
            </w:pPr>
          </w:p>
        </w:tc>
      </w:tr>
      <w:tr w:rsidR="00541219" w14:paraId="5CC25402" w14:textId="77777777">
        <w:trPr>
          <w:trHeight w:val="91"/>
        </w:trPr>
        <w:tc>
          <w:tcPr>
            <w:tcW w:w="3727" w:type="dxa"/>
            <w:tcBorders>
              <w:top w:val="single" w:sz="3" w:space="0" w:color="000000"/>
              <w:left w:val="single" w:sz="3" w:space="0" w:color="000000"/>
              <w:bottom w:val="single" w:sz="3" w:space="0" w:color="000000"/>
              <w:right w:val="single" w:sz="3" w:space="0" w:color="000000"/>
            </w:tcBorders>
          </w:tcPr>
          <w:p w14:paraId="0B85FA19" w14:textId="77777777" w:rsidR="00541219" w:rsidRDefault="00000000">
            <w:pPr>
              <w:spacing w:after="0"/>
              <w:ind w:left="497" w:firstLine="0"/>
            </w:pPr>
            <w:r>
              <w:rPr>
                <w:sz w:val="7"/>
              </w:rPr>
              <w:t xml:space="preserve">     Onde:</w:t>
            </w:r>
          </w:p>
        </w:tc>
        <w:tc>
          <w:tcPr>
            <w:tcW w:w="0" w:type="auto"/>
            <w:gridSpan w:val="2"/>
            <w:vMerge/>
            <w:tcBorders>
              <w:top w:val="nil"/>
              <w:left w:val="single" w:sz="3" w:space="0" w:color="000000"/>
              <w:bottom w:val="nil"/>
              <w:right w:val="nil"/>
            </w:tcBorders>
          </w:tcPr>
          <w:p w14:paraId="2DD84456" w14:textId="77777777" w:rsidR="00541219" w:rsidRDefault="00541219">
            <w:pPr>
              <w:spacing w:after="160"/>
              <w:ind w:left="0" w:firstLine="0"/>
            </w:pPr>
          </w:p>
        </w:tc>
      </w:tr>
      <w:tr w:rsidR="00541219" w14:paraId="3EF74A56" w14:textId="77777777">
        <w:trPr>
          <w:trHeight w:val="91"/>
        </w:trPr>
        <w:tc>
          <w:tcPr>
            <w:tcW w:w="3727" w:type="dxa"/>
            <w:tcBorders>
              <w:top w:val="single" w:sz="3" w:space="0" w:color="000000"/>
              <w:left w:val="single" w:sz="3" w:space="0" w:color="000000"/>
              <w:bottom w:val="single" w:sz="3" w:space="0" w:color="000000"/>
              <w:right w:val="single" w:sz="3" w:space="0" w:color="000000"/>
            </w:tcBorders>
          </w:tcPr>
          <w:p w14:paraId="261DB67B" w14:textId="77777777" w:rsidR="00541219" w:rsidRDefault="00000000">
            <w:pPr>
              <w:spacing w:after="0"/>
              <w:ind w:left="497" w:firstLine="0"/>
            </w:pPr>
            <w:r>
              <w:rPr>
                <w:sz w:val="7"/>
              </w:rPr>
              <w:t xml:space="preserve">     RR: Receita Requerida;</w:t>
            </w:r>
          </w:p>
        </w:tc>
        <w:tc>
          <w:tcPr>
            <w:tcW w:w="0" w:type="auto"/>
            <w:gridSpan w:val="2"/>
            <w:vMerge/>
            <w:tcBorders>
              <w:top w:val="nil"/>
              <w:left w:val="single" w:sz="3" w:space="0" w:color="000000"/>
              <w:bottom w:val="nil"/>
              <w:right w:val="nil"/>
            </w:tcBorders>
          </w:tcPr>
          <w:p w14:paraId="5CEE59C9" w14:textId="77777777" w:rsidR="00541219" w:rsidRDefault="00541219">
            <w:pPr>
              <w:spacing w:after="160"/>
              <w:ind w:left="0" w:firstLine="0"/>
            </w:pPr>
          </w:p>
        </w:tc>
      </w:tr>
      <w:tr w:rsidR="00541219" w14:paraId="2726E75E"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2FEBA8AC" w14:textId="77777777" w:rsidR="00541219" w:rsidRDefault="00000000">
            <w:pPr>
              <w:spacing w:after="0"/>
              <w:ind w:left="497" w:firstLine="0"/>
            </w:pPr>
            <w:r>
              <w:rPr>
                <w:sz w:val="7"/>
              </w:rPr>
              <w:t xml:space="preserve">     VPA: Valor da Parcela A considerando as condições vigentes na data do reajuste em processamento e o Mercado de Referência, podendo contemplar ajustes e previsões, conforme regulação da ANEEL e legislação setorial;</w:t>
            </w:r>
          </w:p>
        </w:tc>
        <w:tc>
          <w:tcPr>
            <w:tcW w:w="0" w:type="auto"/>
            <w:gridSpan w:val="2"/>
            <w:vMerge/>
            <w:tcBorders>
              <w:top w:val="nil"/>
              <w:left w:val="single" w:sz="3" w:space="0" w:color="000000"/>
              <w:bottom w:val="nil"/>
              <w:right w:val="nil"/>
            </w:tcBorders>
          </w:tcPr>
          <w:p w14:paraId="7EB2A9BE" w14:textId="77777777" w:rsidR="00541219" w:rsidRDefault="00541219">
            <w:pPr>
              <w:spacing w:after="160"/>
              <w:ind w:left="0" w:firstLine="0"/>
            </w:pPr>
          </w:p>
        </w:tc>
      </w:tr>
      <w:tr w:rsidR="00541219" w14:paraId="59FF855C"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1A86D90B" w14:textId="77777777" w:rsidR="00541219" w:rsidRDefault="00000000">
            <w:pPr>
              <w:spacing w:after="0"/>
              <w:ind w:left="497" w:right="20" w:firstLine="0"/>
              <w:jc w:val="both"/>
            </w:pPr>
            <w:r>
              <w:rPr>
                <w:sz w:val="7"/>
              </w:rPr>
              <w:t xml:space="preserve">     VPB: Valor resultante da atualização dos itens que compõem a Parcela B, vigentes na Data de Referência Anterior, para a data do reajuste tarifário anual, utilizando a diferença entre o índice de variação da inflação (IVI) e o fator X, conforme critérios estabelecidos na regulação da ANEEL;</w:t>
            </w:r>
          </w:p>
        </w:tc>
        <w:tc>
          <w:tcPr>
            <w:tcW w:w="0" w:type="auto"/>
            <w:gridSpan w:val="2"/>
            <w:vMerge/>
            <w:tcBorders>
              <w:top w:val="nil"/>
              <w:left w:val="single" w:sz="3" w:space="0" w:color="000000"/>
              <w:bottom w:val="nil"/>
              <w:right w:val="nil"/>
            </w:tcBorders>
          </w:tcPr>
          <w:p w14:paraId="424130F2" w14:textId="77777777" w:rsidR="00541219" w:rsidRDefault="00541219">
            <w:pPr>
              <w:spacing w:after="160"/>
              <w:ind w:left="0" w:firstLine="0"/>
            </w:pPr>
          </w:p>
        </w:tc>
      </w:tr>
      <w:tr w:rsidR="00541219" w14:paraId="2F99B1A9"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3AAC0545" w14:textId="77777777" w:rsidR="00541219" w:rsidRDefault="00000000">
            <w:pPr>
              <w:spacing w:after="0"/>
              <w:ind w:left="497" w:right="14" w:firstLine="0"/>
            </w:pPr>
            <w:r>
              <w:rPr>
                <w:sz w:val="7"/>
              </w:rPr>
              <w:t xml:space="preserve">     IVI: número índice obtido pela divisão dos índices do IPCA, do IBGE, ou do índice que vier a sucedê-lo, do mês anterior à data do reajuste em processamento e o índice considerado no último reposicionamento tarifário</w:t>
            </w:r>
          </w:p>
        </w:tc>
        <w:tc>
          <w:tcPr>
            <w:tcW w:w="0" w:type="auto"/>
            <w:gridSpan w:val="2"/>
            <w:vMerge/>
            <w:tcBorders>
              <w:top w:val="nil"/>
              <w:left w:val="single" w:sz="3" w:space="0" w:color="000000"/>
              <w:bottom w:val="nil"/>
              <w:right w:val="nil"/>
            </w:tcBorders>
          </w:tcPr>
          <w:p w14:paraId="745302A7" w14:textId="77777777" w:rsidR="00541219" w:rsidRDefault="00541219">
            <w:pPr>
              <w:spacing w:after="160"/>
              <w:ind w:left="0" w:firstLine="0"/>
            </w:pPr>
          </w:p>
        </w:tc>
      </w:tr>
      <w:tr w:rsidR="00541219" w14:paraId="0B49B5DB"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364176F0" w14:textId="77777777" w:rsidR="00541219" w:rsidRDefault="00000000">
            <w:pPr>
              <w:spacing w:after="0"/>
              <w:ind w:left="0" w:right="66" w:firstLine="0"/>
              <w:jc w:val="right"/>
            </w:pPr>
            <w:r>
              <w:rPr>
                <w:sz w:val="7"/>
              </w:rPr>
              <w:t xml:space="preserve">     Fator X: valor estabelecido pela ANEEL, de acordo com a Subcláusula Décima Quinta desta </w:t>
            </w:r>
          </w:p>
          <w:p w14:paraId="087CA72A" w14:textId="77777777" w:rsidR="00541219" w:rsidRDefault="00000000">
            <w:pPr>
              <w:spacing w:after="0"/>
              <w:ind w:left="497" w:firstLine="0"/>
            </w:pPr>
            <w:r>
              <w:rPr>
                <w:sz w:val="7"/>
              </w:rPr>
              <w:t>Cláusula;</w:t>
            </w:r>
          </w:p>
        </w:tc>
        <w:tc>
          <w:tcPr>
            <w:tcW w:w="0" w:type="auto"/>
            <w:gridSpan w:val="2"/>
            <w:vMerge/>
            <w:tcBorders>
              <w:top w:val="nil"/>
              <w:left w:val="single" w:sz="3" w:space="0" w:color="000000"/>
              <w:bottom w:val="nil"/>
              <w:right w:val="nil"/>
            </w:tcBorders>
          </w:tcPr>
          <w:p w14:paraId="31259ECC" w14:textId="77777777" w:rsidR="00541219" w:rsidRDefault="00541219">
            <w:pPr>
              <w:spacing w:after="160"/>
              <w:ind w:left="0" w:firstLine="0"/>
            </w:pPr>
          </w:p>
        </w:tc>
      </w:tr>
      <w:tr w:rsidR="00541219" w14:paraId="5523B14F" w14:textId="77777777">
        <w:trPr>
          <w:trHeight w:val="91"/>
        </w:trPr>
        <w:tc>
          <w:tcPr>
            <w:tcW w:w="3727" w:type="dxa"/>
            <w:tcBorders>
              <w:top w:val="single" w:sz="3" w:space="0" w:color="000000"/>
              <w:left w:val="single" w:sz="3" w:space="0" w:color="000000"/>
              <w:bottom w:val="single" w:sz="3" w:space="0" w:color="000000"/>
              <w:right w:val="single" w:sz="3" w:space="0" w:color="000000"/>
            </w:tcBorders>
          </w:tcPr>
          <w:p w14:paraId="25D23973" w14:textId="77777777" w:rsidR="00541219" w:rsidRDefault="00000000">
            <w:pPr>
              <w:spacing w:after="0"/>
              <w:ind w:left="166" w:firstLine="0"/>
            </w:pPr>
            <w:r>
              <w:rPr>
                <w:sz w:val="7"/>
              </w:rPr>
              <w:t xml:space="preserve">     Data de Referência Anterior: Data do último reposicionamento tarifário;</w:t>
            </w:r>
          </w:p>
        </w:tc>
        <w:tc>
          <w:tcPr>
            <w:tcW w:w="0" w:type="auto"/>
            <w:gridSpan w:val="2"/>
            <w:vMerge/>
            <w:tcBorders>
              <w:top w:val="nil"/>
              <w:left w:val="single" w:sz="3" w:space="0" w:color="000000"/>
              <w:bottom w:val="nil"/>
              <w:right w:val="nil"/>
            </w:tcBorders>
          </w:tcPr>
          <w:p w14:paraId="0CF2AEAC" w14:textId="77777777" w:rsidR="00541219" w:rsidRDefault="00541219">
            <w:pPr>
              <w:spacing w:after="160"/>
              <w:ind w:left="0" w:firstLine="0"/>
            </w:pPr>
          </w:p>
        </w:tc>
      </w:tr>
      <w:tr w:rsidR="00541219" w14:paraId="2C777F0E"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5555FFB6" w14:textId="77777777" w:rsidR="00541219" w:rsidRDefault="00000000">
            <w:pPr>
              <w:spacing w:after="0"/>
              <w:ind w:left="497" w:right="106" w:firstLine="0"/>
              <w:jc w:val="both"/>
            </w:pPr>
            <w:r>
              <w:rPr>
                <w:sz w:val="7"/>
              </w:rPr>
              <w:t xml:space="preserve">     Mercado de Referência: grandezas de faturamento, constituídas por valores monetários, número de consumidores, montantes de energia elétrica e demanda de potência associadas ao Período de Referência; e</w:t>
            </w:r>
          </w:p>
        </w:tc>
        <w:tc>
          <w:tcPr>
            <w:tcW w:w="0" w:type="auto"/>
            <w:gridSpan w:val="2"/>
            <w:vMerge/>
            <w:tcBorders>
              <w:top w:val="nil"/>
              <w:left w:val="single" w:sz="3" w:space="0" w:color="000000"/>
              <w:bottom w:val="nil"/>
              <w:right w:val="nil"/>
            </w:tcBorders>
          </w:tcPr>
          <w:p w14:paraId="5F3FC50D" w14:textId="77777777" w:rsidR="00541219" w:rsidRDefault="00541219">
            <w:pPr>
              <w:spacing w:after="160"/>
              <w:ind w:left="0" w:firstLine="0"/>
            </w:pPr>
          </w:p>
        </w:tc>
      </w:tr>
      <w:tr w:rsidR="00541219" w14:paraId="158A9A0D"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7F52152C" w14:textId="77777777" w:rsidR="00541219" w:rsidRDefault="00000000">
            <w:pPr>
              <w:spacing w:after="0"/>
              <w:ind w:left="497" w:firstLine="0"/>
            </w:pPr>
            <w:r>
              <w:rPr>
                <w:sz w:val="7"/>
              </w:rPr>
              <w:t xml:space="preserve">     Período de Referência: período de 12 (doze) meses de faturamento, conforme regulação da ANEEL.</w:t>
            </w:r>
          </w:p>
        </w:tc>
        <w:tc>
          <w:tcPr>
            <w:tcW w:w="0" w:type="auto"/>
            <w:gridSpan w:val="2"/>
            <w:vMerge/>
            <w:tcBorders>
              <w:top w:val="nil"/>
              <w:left w:val="single" w:sz="3" w:space="0" w:color="000000"/>
              <w:bottom w:val="nil"/>
              <w:right w:val="nil"/>
            </w:tcBorders>
          </w:tcPr>
          <w:p w14:paraId="0B033811" w14:textId="77777777" w:rsidR="00541219" w:rsidRDefault="00541219">
            <w:pPr>
              <w:spacing w:after="160"/>
              <w:ind w:left="0" w:firstLine="0"/>
            </w:pPr>
          </w:p>
        </w:tc>
      </w:tr>
      <w:tr w:rsidR="00541219" w14:paraId="448BB05A"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0144AF35" w14:textId="77777777" w:rsidR="00541219" w:rsidRDefault="00000000">
            <w:pPr>
              <w:spacing w:after="0"/>
              <w:ind w:left="497" w:firstLine="0"/>
            </w:pPr>
            <w:r>
              <w:rPr>
                <w:sz w:val="7"/>
              </w:rPr>
              <w:t xml:space="preserve">     Parágrafo único - a partir do primeiro mês de vigência deste termo aditivo ao contrato de concessão, será utilizado o IPCA como indexador para o Reajuste Tarifário Anual, ou outro índice que venha a substituí-lo.</w:t>
            </w:r>
          </w:p>
        </w:tc>
        <w:tc>
          <w:tcPr>
            <w:tcW w:w="0" w:type="auto"/>
            <w:gridSpan w:val="2"/>
            <w:vMerge/>
            <w:tcBorders>
              <w:top w:val="nil"/>
              <w:left w:val="single" w:sz="3" w:space="0" w:color="000000"/>
              <w:bottom w:val="nil"/>
              <w:right w:val="nil"/>
            </w:tcBorders>
          </w:tcPr>
          <w:p w14:paraId="4302267F" w14:textId="77777777" w:rsidR="00541219" w:rsidRDefault="00541219">
            <w:pPr>
              <w:spacing w:after="160"/>
              <w:ind w:left="0" w:firstLine="0"/>
            </w:pPr>
          </w:p>
        </w:tc>
      </w:tr>
      <w:tr w:rsidR="00541219" w14:paraId="0A03D5C6"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3DF9464F" w14:textId="77777777" w:rsidR="00541219" w:rsidRDefault="00000000">
            <w:pPr>
              <w:spacing w:after="0"/>
              <w:ind w:left="0" w:firstLine="0"/>
            </w:pPr>
            <w:r>
              <w:rPr>
                <w:sz w:val="7"/>
              </w:rPr>
              <w:t>Subcláusula Oitava – A forma de cálculo dos níveis regulatórios ou os níveis regulatórios das perdas de energia elétrica do sistema de distribuição e das receitas irrecuperáveis serão estabelecidos nas revisões tarifárias ordinárias a partir de análise de eficiência, que deverá levar em consideração, quando cabível:</w:t>
            </w:r>
          </w:p>
        </w:tc>
        <w:tc>
          <w:tcPr>
            <w:tcW w:w="0" w:type="auto"/>
            <w:gridSpan w:val="2"/>
            <w:vMerge/>
            <w:tcBorders>
              <w:top w:val="nil"/>
              <w:left w:val="single" w:sz="3" w:space="0" w:color="000000"/>
              <w:bottom w:val="nil"/>
              <w:right w:val="nil"/>
            </w:tcBorders>
          </w:tcPr>
          <w:p w14:paraId="1F0B27D5" w14:textId="77777777" w:rsidR="00541219" w:rsidRDefault="00541219">
            <w:pPr>
              <w:spacing w:after="160"/>
              <w:ind w:left="0" w:firstLine="0"/>
            </w:pPr>
          </w:p>
        </w:tc>
      </w:tr>
      <w:tr w:rsidR="00541219" w14:paraId="2DDA151E" w14:textId="77777777">
        <w:trPr>
          <w:trHeight w:val="91"/>
        </w:trPr>
        <w:tc>
          <w:tcPr>
            <w:tcW w:w="3727" w:type="dxa"/>
            <w:tcBorders>
              <w:top w:val="single" w:sz="3" w:space="0" w:color="000000"/>
              <w:left w:val="single" w:sz="3" w:space="0" w:color="000000"/>
              <w:bottom w:val="single" w:sz="3" w:space="0" w:color="000000"/>
              <w:right w:val="single" w:sz="3" w:space="0" w:color="000000"/>
            </w:tcBorders>
          </w:tcPr>
          <w:p w14:paraId="502CB3AB" w14:textId="77777777" w:rsidR="00541219" w:rsidRDefault="00000000">
            <w:pPr>
              <w:spacing w:after="0"/>
              <w:ind w:left="497" w:firstLine="0"/>
            </w:pPr>
            <w:r>
              <w:rPr>
                <w:sz w:val="7"/>
              </w:rPr>
              <w:t xml:space="preserve">     I - </w:t>
            </w:r>
            <w:proofErr w:type="gramStart"/>
            <w:r>
              <w:rPr>
                <w:sz w:val="7"/>
              </w:rPr>
              <w:t>o</w:t>
            </w:r>
            <w:proofErr w:type="gramEnd"/>
            <w:r>
              <w:rPr>
                <w:sz w:val="7"/>
              </w:rPr>
              <w:t xml:space="preserve"> desempenho das concessionárias de distribuição de energia elétrica comparáveis;</w:t>
            </w:r>
          </w:p>
        </w:tc>
        <w:tc>
          <w:tcPr>
            <w:tcW w:w="0" w:type="auto"/>
            <w:gridSpan w:val="2"/>
            <w:vMerge/>
            <w:tcBorders>
              <w:top w:val="nil"/>
              <w:left w:val="single" w:sz="3" w:space="0" w:color="000000"/>
              <w:bottom w:val="nil"/>
              <w:right w:val="nil"/>
            </w:tcBorders>
          </w:tcPr>
          <w:p w14:paraId="5DF57D70" w14:textId="77777777" w:rsidR="00541219" w:rsidRDefault="00541219">
            <w:pPr>
              <w:spacing w:after="160"/>
              <w:ind w:left="0" w:firstLine="0"/>
            </w:pPr>
          </w:p>
        </w:tc>
      </w:tr>
      <w:tr w:rsidR="00541219" w14:paraId="0EDE0732"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2268FB2A" w14:textId="77777777" w:rsidR="00541219" w:rsidRDefault="00000000">
            <w:pPr>
              <w:spacing w:after="0"/>
              <w:ind w:left="497" w:firstLine="0"/>
              <w:jc w:val="both"/>
            </w:pPr>
            <w:r>
              <w:rPr>
                <w:sz w:val="7"/>
              </w:rPr>
              <w:t xml:space="preserve">     II - </w:t>
            </w:r>
            <w:proofErr w:type="gramStart"/>
            <w:r>
              <w:rPr>
                <w:sz w:val="7"/>
              </w:rPr>
              <w:t>as</w:t>
            </w:r>
            <w:proofErr w:type="gramEnd"/>
            <w:r>
              <w:rPr>
                <w:sz w:val="7"/>
              </w:rPr>
              <w:t xml:space="preserve"> características da área de concessão da DISTRIBUIDORA, inclusive quanto à presença de áreas com severas restrições operativas; e</w:t>
            </w:r>
          </w:p>
        </w:tc>
        <w:tc>
          <w:tcPr>
            <w:tcW w:w="0" w:type="auto"/>
            <w:gridSpan w:val="2"/>
            <w:vMerge/>
            <w:tcBorders>
              <w:top w:val="nil"/>
              <w:left w:val="single" w:sz="3" w:space="0" w:color="000000"/>
              <w:bottom w:val="nil"/>
              <w:right w:val="nil"/>
            </w:tcBorders>
          </w:tcPr>
          <w:p w14:paraId="307836E0" w14:textId="77777777" w:rsidR="00541219" w:rsidRDefault="00541219">
            <w:pPr>
              <w:spacing w:after="160"/>
              <w:ind w:left="0" w:firstLine="0"/>
            </w:pPr>
          </w:p>
        </w:tc>
      </w:tr>
      <w:tr w:rsidR="00541219" w14:paraId="6AFEEC59"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76C6B824" w14:textId="77777777" w:rsidR="00541219" w:rsidRDefault="00000000">
            <w:pPr>
              <w:spacing w:after="0"/>
              <w:ind w:left="497" w:firstLine="0"/>
            </w:pPr>
            <w:r>
              <w:rPr>
                <w:sz w:val="7"/>
              </w:rPr>
              <w:t xml:space="preserve">     III – o desempenho da concessionária na implantação do plano que trata o inciso XXVI da Cláusula Terceira.</w:t>
            </w:r>
          </w:p>
        </w:tc>
        <w:tc>
          <w:tcPr>
            <w:tcW w:w="0" w:type="auto"/>
            <w:gridSpan w:val="2"/>
            <w:vMerge/>
            <w:tcBorders>
              <w:top w:val="nil"/>
              <w:left w:val="single" w:sz="3" w:space="0" w:color="000000"/>
              <w:bottom w:val="nil"/>
              <w:right w:val="nil"/>
            </w:tcBorders>
          </w:tcPr>
          <w:p w14:paraId="40933903" w14:textId="77777777" w:rsidR="00541219" w:rsidRDefault="00541219">
            <w:pPr>
              <w:spacing w:after="160"/>
              <w:ind w:left="0" w:firstLine="0"/>
            </w:pPr>
          </w:p>
        </w:tc>
      </w:tr>
      <w:tr w:rsidR="00541219" w14:paraId="2FFFBA98"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50BDFE61" w14:textId="77777777" w:rsidR="00541219" w:rsidRDefault="00000000">
            <w:pPr>
              <w:spacing w:after="0"/>
              <w:ind w:left="497" w:right="24" w:firstLine="0"/>
              <w:jc w:val="both"/>
            </w:pPr>
            <w:r>
              <w:rPr>
                <w:sz w:val="7"/>
              </w:rPr>
              <w:t>Parágrafo Primeiro - Os níveis regulatórios de perdas de energia elétrica na Rede Básica serão definidos a cada reposicionamento tarifário a partir dos níveis observados nos últimos doze meses com informações disponíveis.</w:t>
            </w:r>
          </w:p>
        </w:tc>
        <w:tc>
          <w:tcPr>
            <w:tcW w:w="0" w:type="auto"/>
            <w:gridSpan w:val="2"/>
            <w:vMerge/>
            <w:tcBorders>
              <w:top w:val="nil"/>
              <w:left w:val="single" w:sz="3" w:space="0" w:color="000000"/>
              <w:bottom w:val="nil"/>
              <w:right w:val="nil"/>
            </w:tcBorders>
          </w:tcPr>
          <w:p w14:paraId="23D4A662" w14:textId="77777777" w:rsidR="00541219" w:rsidRDefault="00541219">
            <w:pPr>
              <w:spacing w:after="160"/>
              <w:ind w:left="0" w:firstLine="0"/>
            </w:pPr>
          </w:p>
        </w:tc>
      </w:tr>
      <w:tr w:rsidR="00541219" w14:paraId="0EDB1ABF"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00A62D84" w14:textId="77777777" w:rsidR="00541219" w:rsidRDefault="00000000">
            <w:pPr>
              <w:spacing w:after="0"/>
              <w:ind w:left="497" w:firstLine="0"/>
            </w:pPr>
            <w:r>
              <w:rPr>
                <w:sz w:val="7"/>
              </w:rPr>
              <w:t>Parágrafo Segundo – A regulação da ANEEL definirá o tratamento regulatório das perdas de energia elétrica das Demais Instalações de Transmissão (DIT).</w:t>
            </w:r>
          </w:p>
        </w:tc>
        <w:tc>
          <w:tcPr>
            <w:tcW w:w="0" w:type="auto"/>
            <w:gridSpan w:val="2"/>
            <w:vMerge/>
            <w:tcBorders>
              <w:top w:val="nil"/>
              <w:left w:val="single" w:sz="3" w:space="0" w:color="000000"/>
              <w:bottom w:val="nil"/>
              <w:right w:val="nil"/>
            </w:tcBorders>
          </w:tcPr>
          <w:p w14:paraId="022CE1B2" w14:textId="77777777" w:rsidR="00541219" w:rsidRDefault="00541219">
            <w:pPr>
              <w:spacing w:after="160"/>
              <w:ind w:left="0" w:firstLine="0"/>
            </w:pPr>
          </w:p>
        </w:tc>
      </w:tr>
      <w:tr w:rsidR="00541219" w14:paraId="3620ECBC"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069DCF64" w14:textId="77777777" w:rsidR="00541219" w:rsidRDefault="00000000">
            <w:pPr>
              <w:spacing w:after="0"/>
              <w:ind w:left="497" w:firstLine="0"/>
            </w:pPr>
            <w:r>
              <w:rPr>
                <w:sz w:val="7"/>
              </w:rPr>
              <w:t>Parágrafo Terceiro – A regulação observará a aplicação de incentivos compatíveis com a capacidade de gestão em concessões com relevante presença de áreas com severas restrições ao combate às perdas de energia e à inadimplência.</w:t>
            </w:r>
          </w:p>
        </w:tc>
        <w:tc>
          <w:tcPr>
            <w:tcW w:w="0" w:type="auto"/>
            <w:gridSpan w:val="2"/>
            <w:vMerge/>
            <w:tcBorders>
              <w:top w:val="nil"/>
              <w:left w:val="single" w:sz="3" w:space="0" w:color="000000"/>
              <w:bottom w:val="nil"/>
              <w:right w:val="nil"/>
            </w:tcBorders>
          </w:tcPr>
          <w:p w14:paraId="6F29EAC8" w14:textId="77777777" w:rsidR="00541219" w:rsidRDefault="00541219">
            <w:pPr>
              <w:spacing w:after="160"/>
              <w:ind w:left="0" w:firstLine="0"/>
            </w:pPr>
          </w:p>
        </w:tc>
      </w:tr>
      <w:tr w:rsidR="00541219" w14:paraId="33DA9283" w14:textId="77777777">
        <w:trPr>
          <w:trHeight w:val="365"/>
        </w:trPr>
        <w:tc>
          <w:tcPr>
            <w:tcW w:w="3727" w:type="dxa"/>
            <w:tcBorders>
              <w:top w:val="single" w:sz="3" w:space="0" w:color="000000"/>
              <w:left w:val="single" w:sz="3" w:space="0" w:color="000000"/>
              <w:bottom w:val="single" w:sz="3" w:space="0" w:color="000000"/>
              <w:right w:val="single" w:sz="3" w:space="0" w:color="000000"/>
            </w:tcBorders>
          </w:tcPr>
          <w:p w14:paraId="2826C416" w14:textId="77777777" w:rsidR="00541219" w:rsidRDefault="00000000">
            <w:pPr>
              <w:spacing w:after="0"/>
              <w:ind w:left="0" w:firstLine="0"/>
            </w:pPr>
            <w:r>
              <w:rPr>
                <w:sz w:val="7"/>
              </w:rPr>
              <w:t>Subcláusula Nona – A Receita Requerida mencionada na Subcláusula Sexta desta Cláusula e na Subcláusula Décima Primeira desta Cláusula não considerará eventuais descontos tarifários e outras fontes de receita, tais como recursos da Conta de Desenvolvimento Econômico (CDE), Outras Receitas e receitas com Ultrapassagem de Demanda e Excedente de Reativo, sendo que:</w:t>
            </w:r>
          </w:p>
        </w:tc>
        <w:tc>
          <w:tcPr>
            <w:tcW w:w="0" w:type="auto"/>
            <w:gridSpan w:val="2"/>
            <w:vMerge/>
            <w:tcBorders>
              <w:top w:val="nil"/>
              <w:left w:val="single" w:sz="3" w:space="0" w:color="000000"/>
              <w:bottom w:val="nil"/>
              <w:right w:val="nil"/>
            </w:tcBorders>
          </w:tcPr>
          <w:p w14:paraId="723D4705" w14:textId="77777777" w:rsidR="00541219" w:rsidRDefault="00541219">
            <w:pPr>
              <w:spacing w:after="160"/>
              <w:ind w:left="0" w:firstLine="0"/>
            </w:pPr>
          </w:p>
        </w:tc>
      </w:tr>
      <w:tr w:rsidR="00541219" w14:paraId="1F4298DE"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633383A1" w14:textId="77777777" w:rsidR="00541219" w:rsidRDefault="00000000">
            <w:pPr>
              <w:spacing w:after="0"/>
              <w:ind w:left="497" w:firstLine="0"/>
            </w:pPr>
            <w:r>
              <w:rPr>
                <w:sz w:val="7"/>
              </w:rPr>
              <w:t xml:space="preserve">     I – Ultrapassagem de Demanda: montantes de demanda de potência ativa ou de uso do sistema de distribuição medidos que excederem os valores contratados, conforme regulação da ANEEL;</w:t>
            </w:r>
          </w:p>
        </w:tc>
        <w:tc>
          <w:tcPr>
            <w:tcW w:w="0" w:type="auto"/>
            <w:gridSpan w:val="2"/>
            <w:vMerge/>
            <w:tcBorders>
              <w:top w:val="nil"/>
              <w:left w:val="single" w:sz="3" w:space="0" w:color="000000"/>
              <w:bottom w:val="nil"/>
              <w:right w:val="nil"/>
            </w:tcBorders>
          </w:tcPr>
          <w:p w14:paraId="4A4DA1BC" w14:textId="77777777" w:rsidR="00541219" w:rsidRDefault="00541219">
            <w:pPr>
              <w:spacing w:after="160"/>
              <w:ind w:left="0" w:firstLine="0"/>
            </w:pPr>
          </w:p>
        </w:tc>
      </w:tr>
      <w:tr w:rsidR="00541219" w14:paraId="5F38FE16"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58EF41E2" w14:textId="77777777" w:rsidR="00541219" w:rsidRDefault="00000000">
            <w:pPr>
              <w:spacing w:after="0"/>
              <w:ind w:left="497" w:firstLine="0"/>
            </w:pPr>
            <w:r>
              <w:rPr>
                <w:sz w:val="7"/>
              </w:rPr>
              <w:t xml:space="preserve">     II – Excedente de Reativo: montantes de energia elétrica reativa e demanda de potência reativa que excederem o limite permitido, conforme regulação da ANEEL; e</w:t>
            </w:r>
          </w:p>
        </w:tc>
        <w:tc>
          <w:tcPr>
            <w:tcW w:w="0" w:type="auto"/>
            <w:gridSpan w:val="2"/>
            <w:vMerge/>
            <w:tcBorders>
              <w:top w:val="nil"/>
              <w:left w:val="single" w:sz="3" w:space="0" w:color="000000"/>
              <w:bottom w:val="nil"/>
              <w:right w:val="nil"/>
            </w:tcBorders>
          </w:tcPr>
          <w:p w14:paraId="6DBF4EA5" w14:textId="77777777" w:rsidR="00541219" w:rsidRDefault="00541219">
            <w:pPr>
              <w:spacing w:after="160"/>
              <w:ind w:left="0" w:firstLine="0"/>
            </w:pPr>
          </w:p>
        </w:tc>
      </w:tr>
      <w:tr w:rsidR="00541219" w14:paraId="131BC73E"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28786C6F" w14:textId="77777777" w:rsidR="00541219" w:rsidRDefault="00000000">
            <w:pPr>
              <w:spacing w:after="0"/>
              <w:ind w:left="497" w:firstLine="0"/>
            </w:pPr>
            <w:r>
              <w:rPr>
                <w:sz w:val="7"/>
              </w:rPr>
              <w:t xml:space="preserve">     III – Outras Receitas: parcela das receitas auferidas pela DISTRIBUIDORA no exercício de outras atividades empresariais referidas na Subcláusula Quinta da Cláusula Primeira, observado o disposto na Subcláusula Décima Oitava desta Cláusula.</w:t>
            </w:r>
          </w:p>
        </w:tc>
        <w:tc>
          <w:tcPr>
            <w:tcW w:w="0" w:type="auto"/>
            <w:gridSpan w:val="2"/>
            <w:vMerge/>
            <w:tcBorders>
              <w:top w:val="nil"/>
              <w:left w:val="single" w:sz="3" w:space="0" w:color="000000"/>
              <w:bottom w:val="nil"/>
              <w:right w:val="nil"/>
            </w:tcBorders>
          </w:tcPr>
          <w:p w14:paraId="2EE49B04" w14:textId="77777777" w:rsidR="00541219" w:rsidRDefault="00541219">
            <w:pPr>
              <w:spacing w:after="160"/>
              <w:ind w:left="0" w:firstLine="0"/>
            </w:pPr>
          </w:p>
        </w:tc>
      </w:tr>
      <w:tr w:rsidR="00541219" w14:paraId="35152844" w14:textId="77777777">
        <w:trPr>
          <w:trHeight w:val="458"/>
        </w:trPr>
        <w:tc>
          <w:tcPr>
            <w:tcW w:w="3727" w:type="dxa"/>
            <w:tcBorders>
              <w:top w:val="single" w:sz="3" w:space="0" w:color="000000"/>
              <w:left w:val="single" w:sz="3" w:space="0" w:color="000000"/>
              <w:bottom w:val="single" w:sz="3" w:space="0" w:color="000000"/>
              <w:right w:val="single" w:sz="3" w:space="0" w:color="000000"/>
            </w:tcBorders>
          </w:tcPr>
          <w:p w14:paraId="2BB74062" w14:textId="77777777" w:rsidR="00541219" w:rsidRDefault="00000000">
            <w:pPr>
              <w:spacing w:after="0"/>
              <w:ind w:left="0" w:firstLine="0"/>
              <w:jc w:val="both"/>
            </w:pPr>
            <w:r>
              <w:rPr>
                <w:sz w:val="7"/>
              </w:rPr>
              <w:t xml:space="preserve">Subcláusula Décima – No processo de cálculo das tarifas mencionado na Subcláusula Vigésima Primeira desta </w:t>
            </w:r>
          </w:p>
          <w:p w14:paraId="302DC58C" w14:textId="77777777" w:rsidR="00541219" w:rsidRDefault="00000000">
            <w:pPr>
              <w:spacing w:after="0"/>
              <w:ind w:left="0" w:firstLine="0"/>
            </w:pPr>
            <w:r>
              <w:rPr>
                <w:sz w:val="7"/>
              </w:rPr>
              <w:t xml:space="preserve">Cláusula a ANEEL deverá subtrair da Parcela B as receitas faturadas no Período de Referência com </w:t>
            </w:r>
          </w:p>
          <w:p w14:paraId="67004C72" w14:textId="77777777" w:rsidR="00541219" w:rsidRDefault="00000000">
            <w:pPr>
              <w:spacing w:after="0"/>
              <w:ind w:left="0" w:firstLine="0"/>
            </w:pPr>
            <w:r>
              <w:rPr>
                <w:sz w:val="7"/>
              </w:rPr>
              <w:t>Ultrapassagem de Demanda e Excedente de Reativo, além dos valores de Outras Receitas faturados no Período de Referência, e que não foram utilizadas para as ações elencadas nos incisos XIX e XX da Cláusula Terceira, conforme Subcláusula Décima Sexta desta Cláusula.</w:t>
            </w:r>
          </w:p>
        </w:tc>
        <w:tc>
          <w:tcPr>
            <w:tcW w:w="0" w:type="auto"/>
            <w:gridSpan w:val="2"/>
            <w:vMerge/>
            <w:tcBorders>
              <w:top w:val="nil"/>
              <w:left w:val="single" w:sz="3" w:space="0" w:color="000000"/>
              <w:bottom w:val="nil"/>
              <w:right w:val="nil"/>
            </w:tcBorders>
          </w:tcPr>
          <w:p w14:paraId="1181A149" w14:textId="77777777" w:rsidR="00541219" w:rsidRDefault="00541219">
            <w:pPr>
              <w:spacing w:after="160"/>
              <w:ind w:left="0" w:firstLine="0"/>
            </w:pPr>
          </w:p>
        </w:tc>
      </w:tr>
      <w:tr w:rsidR="00541219" w14:paraId="47757C40"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07B67BC5" w14:textId="77777777" w:rsidR="00541219" w:rsidRDefault="00000000">
            <w:pPr>
              <w:spacing w:after="0"/>
              <w:ind w:left="0" w:firstLine="0"/>
              <w:jc w:val="both"/>
            </w:pPr>
            <w:r>
              <w:rPr>
                <w:sz w:val="7"/>
              </w:rPr>
              <w:t>Subcláusula Décima Primeira – Nos processos de revisões tarifárias ordinárias a Receita Requerida será calculada pela soma do Valor da Parcela A e da Parcela B.</w:t>
            </w:r>
          </w:p>
        </w:tc>
        <w:tc>
          <w:tcPr>
            <w:tcW w:w="0" w:type="auto"/>
            <w:gridSpan w:val="2"/>
            <w:vMerge/>
            <w:tcBorders>
              <w:top w:val="nil"/>
              <w:left w:val="single" w:sz="3" w:space="0" w:color="000000"/>
              <w:bottom w:val="nil"/>
              <w:right w:val="nil"/>
            </w:tcBorders>
          </w:tcPr>
          <w:p w14:paraId="7EB6D77B" w14:textId="77777777" w:rsidR="00541219" w:rsidRDefault="00541219">
            <w:pPr>
              <w:spacing w:after="160"/>
              <w:ind w:left="0" w:firstLine="0"/>
            </w:pPr>
          </w:p>
        </w:tc>
      </w:tr>
      <w:tr w:rsidR="00541219" w14:paraId="6F50AA05"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012C72C1" w14:textId="77777777" w:rsidR="00541219" w:rsidRDefault="00000000">
            <w:pPr>
              <w:spacing w:after="0"/>
              <w:ind w:left="0" w:right="2" w:firstLine="0"/>
            </w:pPr>
            <w:r>
              <w:rPr>
                <w:sz w:val="7"/>
              </w:rPr>
              <w:t>Subcláusula Décima Segunda – Nos processos de revisões tarifárias ordinárias o valor da Parcela B será calculado considerando estímulos à eficiência, melhoria da qualidade, modicidade das tarifas e previsibilidade das regras, conforme regulação da ANEEL, que deverá observar o seguinte:</w:t>
            </w:r>
          </w:p>
        </w:tc>
        <w:tc>
          <w:tcPr>
            <w:tcW w:w="0" w:type="auto"/>
            <w:gridSpan w:val="2"/>
            <w:vMerge/>
            <w:tcBorders>
              <w:top w:val="nil"/>
              <w:left w:val="single" w:sz="3" w:space="0" w:color="000000"/>
              <w:bottom w:val="nil"/>
              <w:right w:val="nil"/>
            </w:tcBorders>
          </w:tcPr>
          <w:p w14:paraId="213AFEE0" w14:textId="77777777" w:rsidR="00541219" w:rsidRDefault="00541219">
            <w:pPr>
              <w:spacing w:after="160"/>
              <w:ind w:left="0" w:firstLine="0"/>
            </w:pPr>
          </w:p>
        </w:tc>
      </w:tr>
      <w:tr w:rsidR="00541219" w14:paraId="1424845D"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04977493" w14:textId="77777777" w:rsidR="00541219" w:rsidRDefault="00000000">
            <w:pPr>
              <w:spacing w:after="0"/>
              <w:ind w:left="497" w:firstLine="0"/>
            </w:pPr>
            <w:r>
              <w:rPr>
                <w:sz w:val="7"/>
              </w:rPr>
              <w:t xml:space="preserve">     I – </w:t>
            </w:r>
            <w:proofErr w:type="gramStart"/>
            <w:r>
              <w:rPr>
                <w:sz w:val="7"/>
              </w:rPr>
              <w:t>os</w:t>
            </w:r>
            <w:proofErr w:type="gramEnd"/>
            <w:r>
              <w:rPr>
                <w:sz w:val="7"/>
              </w:rPr>
              <w:t xml:space="preserve"> Custos Operacionais serão calculados a partir de análise de eficiência, que levará em consideração o desempenho das concessionárias de distribuição de energia elétrica comparáveis e as características da área de concessão da DISTRIBUIDORA;</w:t>
            </w:r>
          </w:p>
        </w:tc>
        <w:tc>
          <w:tcPr>
            <w:tcW w:w="0" w:type="auto"/>
            <w:gridSpan w:val="2"/>
            <w:vMerge/>
            <w:tcBorders>
              <w:top w:val="nil"/>
              <w:left w:val="single" w:sz="3" w:space="0" w:color="000000"/>
              <w:bottom w:val="nil"/>
              <w:right w:val="nil"/>
            </w:tcBorders>
          </w:tcPr>
          <w:p w14:paraId="415FD2BD" w14:textId="77777777" w:rsidR="00541219" w:rsidRDefault="00541219">
            <w:pPr>
              <w:spacing w:after="160"/>
              <w:ind w:left="0" w:firstLine="0"/>
            </w:pPr>
          </w:p>
        </w:tc>
      </w:tr>
      <w:tr w:rsidR="00541219" w14:paraId="451D819D"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57F6A63F" w14:textId="77777777" w:rsidR="00541219" w:rsidRDefault="00000000">
            <w:pPr>
              <w:spacing w:after="0"/>
              <w:ind w:left="497" w:firstLine="0"/>
              <w:jc w:val="both"/>
            </w:pPr>
            <w:r>
              <w:rPr>
                <w:sz w:val="7"/>
              </w:rPr>
              <w:t xml:space="preserve">     II – </w:t>
            </w:r>
            <w:proofErr w:type="gramStart"/>
            <w:r>
              <w:rPr>
                <w:sz w:val="7"/>
              </w:rPr>
              <w:t>os</w:t>
            </w:r>
            <w:proofErr w:type="gramEnd"/>
            <w:r>
              <w:rPr>
                <w:sz w:val="7"/>
              </w:rPr>
              <w:t xml:space="preserve"> Custos de Capital serão calculados pela soma de duas parcelas, Remuneração do Capital e Quota de Reintegração Regulatória;</w:t>
            </w:r>
          </w:p>
        </w:tc>
        <w:tc>
          <w:tcPr>
            <w:tcW w:w="0" w:type="auto"/>
            <w:gridSpan w:val="2"/>
            <w:vMerge/>
            <w:tcBorders>
              <w:top w:val="nil"/>
              <w:left w:val="single" w:sz="3" w:space="0" w:color="000000"/>
              <w:bottom w:val="nil"/>
              <w:right w:val="nil"/>
            </w:tcBorders>
          </w:tcPr>
          <w:p w14:paraId="2C549D26" w14:textId="77777777" w:rsidR="00541219" w:rsidRDefault="00541219">
            <w:pPr>
              <w:spacing w:after="160"/>
              <w:ind w:left="0" w:firstLine="0"/>
            </w:pPr>
          </w:p>
        </w:tc>
      </w:tr>
      <w:tr w:rsidR="00541219" w14:paraId="46297752"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18023077" w14:textId="77777777" w:rsidR="00541219" w:rsidRDefault="00000000">
            <w:pPr>
              <w:spacing w:after="0"/>
              <w:ind w:left="497" w:firstLine="0"/>
            </w:pPr>
            <w:r>
              <w:rPr>
                <w:sz w:val="7"/>
              </w:rPr>
              <w:t xml:space="preserve">     III – a Remuneração do Capital será calculada a partir da Base de Remuneração Regulatória, ainda não depreciada/amortizada, e da taxa de retorno adequada;</w:t>
            </w:r>
          </w:p>
        </w:tc>
        <w:tc>
          <w:tcPr>
            <w:tcW w:w="0" w:type="auto"/>
            <w:gridSpan w:val="2"/>
            <w:vMerge/>
            <w:tcBorders>
              <w:top w:val="nil"/>
              <w:left w:val="single" w:sz="3" w:space="0" w:color="000000"/>
              <w:bottom w:val="nil"/>
              <w:right w:val="nil"/>
            </w:tcBorders>
          </w:tcPr>
          <w:p w14:paraId="270A0333" w14:textId="77777777" w:rsidR="00541219" w:rsidRDefault="00541219">
            <w:pPr>
              <w:spacing w:after="160"/>
              <w:ind w:left="0" w:firstLine="0"/>
            </w:pPr>
          </w:p>
        </w:tc>
      </w:tr>
      <w:tr w:rsidR="00541219" w14:paraId="0B9EF521"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3FD35CAE" w14:textId="77777777" w:rsidR="00541219" w:rsidRDefault="00000000">
            <w:pPr>
              <w:spacing w:after="0"/>
              <w:ind w:left="497" w:firstLine="0"/>
            </w:pPr>
            <w:r>
              <w:rPr>
                <w:sz w:val="7"/>
              </w:rPr>
              <w:t xml:space="preserve">     IV – </w:t>
            </w:r>
            <w:proofErr w:type="gramStart"/>
            <w:r>
              <w:rPr>
                <w:sz w:val="7"/>
              </w:rPr>
              <w:t>a</w:t>
            </w:r>
            <w:proofErr w:type="gramEnd"/>
            <w:r>
              <w:rPr>
                <w:sz w:val="7"/>
              </w:rPr>
              <w:t xml:space="preserve"> Quota de Reintegração Regulatória será calculada a partir da Base de Remuneração Regulatória e da taxa de depreciação regulatória;</w:t>
            </w:r>
          </w:p>
        </w:tc>
        <w:tc>
          <w:tcPr>
            <w:tcW w:w="0" w:type="auto"/>
            <w:gridSpan w:val="2"/>
            <w:vMerge/>
            <w:tcBorders>
              <w:top w:val="nil"/>
              <w:left w:val="single" w:sz="3" w:space="0" w:color="000000"/>
              <w:bottom w:val="nil"/>
              <w:right w:val="nil"/>
            </w:tcBorders>
          </w:tcPr>
          <w:p w14:paraId="2A975B86" w14:textId="77777777" w:rsidR="00541219" w:rsidRDefault="00541219">
            <w:pPr>
              <w:spacing w:after="160"/>
              <w:ind w:left="0" w:firstLine="0"/>
            </w:pPr>
          </w:p>
        </w:tc>
      </w:tr>
      <w:tr w:rsidR="00541219" w14:paraId="05940091"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6C2EB778" w14:textId="77777777" w:rsidR="00541219" w:rsidRDefault="00000000">
            <w:pPr>
              <w:spacing w:after="0"/>
              <w:ind w:left="497" w:firstLine="0"/>
            </w:pPr>
            <w:r>
              <w:rPr>
                <w:sz w:val="7"/>
              </w:rPr>
              <w:t xml:space="preserve">     V – </w:t>
            </w:r>
            <w:proofErr w:type="gramStart"/>
            <w:r>
              <w:rPr>
                <w:sz w:val="7"/>
              </w:rPr>
              <w:t>a</w:t>
            </w:r>
            <w:proofErr w:type="gramEnd"/>
            <w:r>
              <w:rPr>
                <w:sz w:val="7"/>
              </w:rPr>
              <w:t xml:space="preserve"> taxa de retorno adequada será calculada a partir de metodologia que considerará os riscos do exercício da atividade de distribuição de energia elétrica, ponderando os custos de capital próprio e de terceiros, conforme estrutura de capital regulatória;</w:t>
            </w:r>
          </w:p>
        </w:tc>
        <w:tc>
          <w:tcPr>
            <w:tcW w:w="0" w:type="auto"/>
            <w:gridSpan w:val="2"/>
            <w:vMerge/>
            <w:tcBorders>
              <w:top w:val="nil"/>
              <w:left w:val="single" w:sz="3" w:space="0" w:color="000000"/>
              <w:bottom w:val="nil"/>
              <w:right w:val="nil"/>
            </w:tcBorders>
          </w:tcPr>
          <w:p w14:paraId="5741778B" w14:textId="77777777" w:rsidR="00541219" w:rsidRDefault="00541219">
            <w:pPr>
              <w:spacing w:after="160"/>
              <w:ind w:left="0" w:firstLine="0"/>
            </w:pPr>
          </w:p>
        </w:tc>
      </w:tr>
      <w:tr w:rsidR="00541219" w14:paraId="58A71923"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19E671D3" w14:textId="77777777" w:rsidR="00541219" w:rsidRDefault="00000000">
            <w:pPr>
              <w:spacing w:after="0"/>
              <w:ind w:left="497" w:firstLine="0"/>
            </w:pPr>
            <w:r>
              <w:rPr>
                <w:sz w:val="7"/>
              </w:rPr>
              <w:t xml:space="preserve">     VI – </w:t>
            </w:r>
            <w:proofErr w:type="gramStart"/>
            <w:r>
              <w:rPr>
                <w:sz w:val="7"/>
              </w:rPr>
              <w:t>a</w:t>
            </w:r>
            <w:proofErr w:type="gramEnd"/>
            <w:r>
              <w:rPr>
                <w:sz w:val="7"/>
              </w:rPr>
              <w:t xml:space="preserve"> Base de Remuneração Regulatória corresponde aos investimentos eficientes realizados pela DISTRIBUIDORA para prestação do serviço de distribuição de energia elétrica;</w:t>
            </w:r>
          </w:p>
        </w:tc>
        <w:tc>
          <w:tcPr>
            <w:tcW w:w="0" w:type="auto"/>
            <w:gridSpan w:val="2"/>
            <w:vMerge/>
            <w:tcBorders>
              <w:top w:val="nil"/>
              <w:left w:val="single" w:sz="3" w:space="0" w:color="000000"/>
              <w:bottom w:val="nil"/>
              <w:right w:val="nil"/>
            </w:tcBorders>
          </w:tcPr>
          <w:p w14:paraId="38A97981" w14:textId="77777777" w:rsidR="00541219" w:rsidRDefault="00541219">
            <w:pPr>
              <w:spacing w:after="160"/>
              <w:ind w:left="0" w:firstLine="0"/>
            </w:pPr>
          </w:p>
        </w:tc>
      </w:tr>
      <w:tr w:rsidR="00541219" w14:paraId="31A96187" w14:textId="77777777">
        <w:trPr>
          <w:trHeight w:val="365"/>
        </w:trPr>
        <w:tc>
          <w:tcPr>
            <w:tcW w:w="3727" w:type="dxa"/>
            <w:tcBorders>
              <w:top w:val="single" w:sz="3" w:space="0" w:color="000000"/>
              <w:left w:val="single" w:sz="3" w:space="0" w:color="000000"/>
              <w:bottom w:val="single" w:sz="3" w:space="0" w:color="000000"/>
              <w:right w:val="single" w:sz="3" w:space="0" w:color="000000"/>
            </w:tcBorders>
          </w:tcPr>
          <w:p w14:paraId="1D7C344D" w14:textId="77777777" w:rsidR="00541219" w:rsidRDefault="00000000">
            <w:pPr>
              <w:spacing w:after="0"/>
              <w:ind w:left="497" w:firstLine="0"/>
            </w:pPr>
            <w:r>
              <w:rPr>
                <w:sz w:val="7"/>
              </w:rPr>
              <w:t xml:space="preserve">     VII – a metodologia de valoração da Base de Remuneração Regulatória deverá conter, quando cabível, mecanismos de estímulo a investimentos eficientes, tais como análise de eficiência, que levará em consideração o desempenho das concessionárias de distribuição de energia elétrica comparáveis e as características da área de concessão da DISTRIBUIDORA;</w:t>
            </w:r>
          </w:p>
        </w:tc>
        <w:tc>
          <w:tcPr>
            <w:tcW w:w="0" w:type="auto"/>
            <w:gridSpan w:val="2"/>
            <w:vMerge/>
            <w:tcBorders>
              <w:top w:val="nil"/>
              <w:left w:val="single" w:sz="3" w:space="0" w:color="000000"/>
              <w:bottom w:val="nil"/>
              <w:right w:val="nil"/>
            </w:tcBorders>
          </w:tcPr>
          <w:p w14:paraId="40EF269E" w14:textId="77777777" w:rsidR="00541219" w:rsidRDefault="00541219">
            <w:pPr>
              <w:spacing w:after="160"/>
              <w:ind w:left="0" w:firstLine="0"/>
            </w:pPr>
          </w:p>
        </w:tc>
      </w:tr>
      <w:tr w:rsidR="00541219" w14:paraId="0A086904" w14:textId="77777777">
        <w:trPr>
          <w:trHeight w:val="365"/>
        </w:trPr>
        <w:tc>
          <w:tcPr>
            <w:tcW w:w="3727" w:type="dxa"/>
            <w:tcBorders>
              <w:top w:val="single" w:sz="3" w:space="0" w:color="000000"/>
              <w:left w:val="single" w:sz="3" w:space="0" w:color="000000"/>
              <w:bottom w:val="single" w:sz="3" w:space="0" w:color="000000"/>
              <w:right w:val="single" w:sz="3" w:space="0" w:color="000000"/>
            </w:tcBorders>
          </w:tcPr>
          <w:p w14:paraId="4A0F419F" w14:textId="77777777" w:rsidR="00541219" w:rsidRDefault="00000000">
            <w:pPr>
              <w:spacing w:after="0"/>
              <w:ind w:left="0" w:right="101" w:firstLine="0"/>
              <w:jc w:val="right"/>
            </w:pPr>
            <w:r>
              <w:rPr>
                <w:sz w:val="7"/>
              </w:rPr>
              <w:t xml:space="preserve">     VIII – as parcelas de Remuneração do Capital, Quota de Reintegração Regulatória e Custos </w:t>
            </w:r>
          </w:p>
          <w:p w14:paraId="465558D6" w14:textId="77777777" w:rsidR="00541219" w:rsidRDefault="00000000">
            <w:pPr>
              <w:spacing w:after="0"/>
              <w:ind w:left="497" w:firstLine="0"/>
            </w:pPr>
            <w:r>
              <w:rPr>
                <w:sz w:val="7"/>
              </w:rPr>
              <w:t>Operacionais poderão ser calculadas de forma conjunta em forma de Anuidade Regulatória (TOTEX), observando o disposto nos incisos I e VII desta Subcláusula, contemplando mecanismos de estímulo à gestão eficiente dos custos totais de operação e de capital; e</w:t>
            </w:r>
          </w:p>
        </w:tc>
        <w:tc>
          <w:tcPr>
            <w:tcW w:w="0" w:type="auto"/>
            <w:gridSpan w:val="2"/>
            <w:vMerge/>
            <w:tcBorders>
              <w:top w:val="nil"/>
              <w:left w:val="single" w:sz="3" w:space="0" w:color="000000"/>
              <w:bottom w:val="single" w:sz="3" w:space="0" w:color="000000"/>
              <w:right w:val="nil"/>
            </w:tcBorders>
          </w:tcPr>
          <w:p w14:paraId="533DEF0B" w14:textId="77777777" w:rsidR="00541219" w:rsidRDefault="00541219">
            <w:pPr>
              <w:spacing w:after="160"/>
              <w:ind w:left="0" w:firstLine="0"/>
            </w:pPr>
          </w:p>
        </w:tc>
      </w:tr>
      <w:tr w:rsidR="00541219" w14:paraId="2A2FEE81" w14:textId="77777777">
        <w:trPr>
          <w:trHeight w:val="430"/>
        </w:trPr>
        <w:tc>
          <w:tcPr>
            <w:tcW w:w="3727" w:type="dxa"/>
            <w:tcBorders>
              <w:top w:val="single" w:sz="3" w:space="0" w:color="000000"/>
              <w:left w:val="single" w:sz="3" w:space="0" w:color="000000"/>
              <w:bottom w:val="single" w:sz="3" w:space="0" w:color="000000"/>
              <w:right w:val="single" w:sz="3" w:space="0" w:color="000000"/>
            </w:tcBorders>
            <w:vAlign w:val="center"/>
          </w:tcPr>
          <w:p w14:paraId="7FB18721" w14:textId="77777777" w:rsidR="00541219" w:rsidRDefault="00000000">
            <w:pPr>
              <w:spacing w:after="0"/>
              <w:ind w:left="497" w:firstLine="0"/>
              <w:jc w:val="both"/>
            </w:pPr>
            <w:r>
              <w:rPr>
                <w:sz w:val="7"/>
              </w:rPr>
              <w:t xml:space="preserve">     IX - </w:t>
            </w:r>
            <w:proofErr w:type="gramStart"/>
            <w:r>
              <w:rPr>
                <w:sz w:val="7"/>
              </w:rPr>
              <w:t>os</w:t>
            </w:r>
            <w:proofErr w:type="gramEnd"/>
            <w:r>
              <w:rPr>
                <w:sz w:val="7"/>
              </w:rPr>
              <w:t xml:space="preserve"> custos de capital e de operação entre revisões tarifárias poderão ser considerados nos processos de reajuste tarifário, conforme regulação a ser definida pela ANEEL.</w:t>
            </w:r>
          </w:p>
        </w:tc>
        <w:tc>
          <w:tcPr>
            <w:tcW w:w="3041" w:type="dxa"/>
            <w:tcBorders>
              <w:top w:val="single" w:sz="3" w:space="0" w:color="000000"/>
              <w:left w:val="single" w:sz="3" w:space="0" w:color="000000"/>
              <w:bottom w:val="single" w:sz="3" w:space="0" w:color="000000"/>
              <w:right w:val="single" w:sz="3" w:space="0" w:color="000000"/>
            </w:tcBorders>
          </w:tcPr>
          <w:p w14:paraId="589A0488" w14:textId="77777777" w:rsidR="00541219" w:rsidRDefault="00000000">
            <w:pPr>
              <w:spacing w:after="0"/>
              <w:ind w:left="5" w:firstLine="0"/>
            </w:pPr>
            <w:r>
              <w:rPr>
                <w:rFonts w:ascii="Calibri" w:eastAsia="Calibri" w:hAnsi="Calibri" w:cs="Calibri"/>
                <w:noProof/>
                <w:sz w:val="22"/>
              </w:rPr>
              <mc:AlternateContent>
                <mc:Choice Requires="wpg">
                  <w:drawing>
                    <wp:anchor distT="0" distB="0" distL="114300" distR="114300" simplePos="0" relativeHeight="251665408" behindDoc="1" locked="0" layoutInCell="1" allowOverlap="1" wp14:anchorId="09FB1A58" wp14:editId="012E49D6">
                      <wp:simplePos x="0" y="0"/>
                      <wp:positionH relativeFrom="column">
                        <wp:posOffset>301752</wp:posOffset>
                      </wp:positionH>
                      <wp:positionV relativeFrom="paragraph">
                        <wp:posOffset>25814</wp:posOffset>
                      </wp:positionV>
                      <wp:extent cx="281940" cy="3048"/>
                      <wp:effectExtent l="0" t="0" r="0" b="0"/>
                      <wp:wrapNone/>
                      <wp:docPr id="113132" name="Group 113132"/>
                      <wp:cNvGraphicFramePr/>
                      <a:graphic xmlns:a="http://schemas.openxmlformats.org/drawingml/2006/main">
                        <a:graphicData uri="http://schemas.microsoft.com/office/word/2010/wordprocessingGroup">
                          <wpg:wgp>
                            <wpg:cNvGrpSpPr/>
                            <wpg:grpSpPr>
                              <a:xfrm>
                                <a:off x="0" y="0"/>
                                <a:ext cx="281940" cy="3048"/>
                                <a:chOff x="0" y="0"/>
                                <a:chExt cx="281940" cy="3048"/>
                              </a:xfrm>
                            </wpg:grpSpPr>
                            <wps:wsp>
                              <wps:cNvPr id="135646" name="Shape 135646"/>
                              <wps:cNvSpPr/>
                              <wps:spPr>
                                <a:xfrm>
                                  <a:off x="0" y="0"/>
                                  <a:ext cx="281940" cy="9144"/>
                                </a:xfrm>
                                <a:custGeom>
                                  <a:avLst/>
                                  <a:gdLst/>
                                  <a:ahLst/>
                                  <a:cxnLst/>
                                  <a:rect l="0" t="0" r="0" b="0"/>
                                  <a:pathLst>
                                    <a:path w="281940" h="9144">
                                      <a:moveTo>
                                        <a:pt x="0" y="0"/>
                                      </a:moveTo>
                                      <a:lnTo>
                                        <a:pt x="281940" y="0"/>
                                      </a:lnTo>
                                      <a:lnTo>
                                        <a:pt x="281940" y="9144"/>
                                      </a:lnTo>
                                      <a:lnTo>
                                        <a:pt x="0" y="9144"/>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g:wgp>
                        </a:graphicData>
                      </a:graphic>
                    </wp:anchor>
                  </w:drawing>
                </mc:Choice>
                <mc:Fallback xmlns:a="http://schemas.openxmlformats.org/drawingml/2006/main">
                  <w:pict>
                    <v:group id="Group 113132" style="width:22.2pt;height:0.23999pt;position:absolute;z-index:-2147483486;mso-position-horizontal-relative:text;mso-position-horizontal:absolute;margin-left:23.76pt;mso-position-vertical-relative:text;margin-top:2.03259pt;" coordsize="2819,30">
                      <v:shape id="Shape 135647" style="position:absolute;width:2819;height:91;left:0;top:0;" coordsize="281940,9144" path="m0,0l281940,0l281940,9144l0,9144l0,0">
                        <v:stroke weight="0pt" endcap="flat" joinstyle="miter" miterlimit="10" on="false" color="#000000" opacity="0"/>
                        <v:fill on="true" color="#ff0000"/>
                      </v:shape>
                    </v:group>
                  </w:pict>
                </mc:Fallback>
              </mc:AlternateContent>
            </w:r>
            <w:r>
              <w:t xml:space="preserve">- </w:t>
            </w:r>
            <w:proofErr w:type="gramStart"/>
            <w:r>
              <w:t>os</w:t>
            </w:r>
            <w:proofErr w:type="gramEnd"/>
            <w:r>
              <w:t xml:space="preserve"> custos </w:t>
            </w:r>
            <w:r>
              <w:rPr>
                <w:color w:val="FF0000"/>
              </w:rPr>
              <w:t xml:space="preserve">de capital e </w:t>
            </w:r>
            <w:r>
              <w:t>de operação entre revisões tarifárias poderão ser considerados nos processos de reajuste tarifário, conforme regulação a ser definida pela ANEEL</w:t>
            </w:r>
          </w:p>
        </w:tc>
        <w:tc>
          <w:tcPr>
            <w:tcW w:w="3473" w:type="dxa"/>
            <w:tcBorders>
              <w:top w:val="single" w:sz="3" w:space="0" w:color="000000"/>
              <w:left w:val="single" w:sz="3" w:space="0" w:color="000000"/>
              <w:bottom w:val="single" w:sz="3" w:space="0" w:color="000000"/>
              <w:right w:val="single" w:sz="3" w:space="0" w:color="000000"/>
            </w:tcBorders>
          </w:tcPr>
          <w:p w14:paraId="27ACC5E0" w14:textId="77777777" w:rsidR="00541219" w:rsidRDefault="00000000">
            <w:pPr>
              <w:spacing w:after="0"/>
              <w:ind w:left="5" w:right="72" w:firstLine="0"/>
              <w:jc w:val="both"/>
            </w:pPr>
            <w:r>
              <w:t>Visando incentivar que as DISTRIBUIDORAS elaborem e implementem plano de expansão e de investimentos diluído e realizado de forma mais uniforme a cada ano, e não concentrado na véspera da Revisão Tarifária como acontece atualmente.</w:t>
            </w:r>
          </w:p>
        </w:tc>
      </w:tr>
      <w:tr w:rsidR="00541219" w14:paraId="4C49040B" w14:textId="77777777">
        <w:trPr>
          <w:trHeight w:val="430"/>
        </w:trPr>
        <w:tc>
          <w:tcPr>
            <w:tcW w:w="3727" w:type="dxa"/>
            <w:tcBorders>
              <w:top w:val="single" w:sz="3" w:space="0" w:color="000000"/>
              <w:left w:val="single" w:sz="3" w:space="0" w:color="000000"/>
              <w:bottom w:val="single" w:sz="3" w:space="0" w:color="000000"/>
              <w:right w:val="single" w:sz="3" w:space="0" w:color="000000"/>
            </w:tcBorders>
          </w:tcPr>
          <w:p w14:paraId="0BDD9353" w14:textId="77777777" w:rsidR="00541219" w:rsidRDefault="00541219">
            <w:pPr>
              <w:spacing w:after="160"/>
              <w:ind w:left="0" w:firstLine="0"/>
            </w:pPr>
          </w:p>
        </w:tc>
        <w:tc>
          <w:tcPr>
            <w:tcW w:w="3041" w:type="dxa"/>
            <w:tcBorders>
              <w:top w:val="single" w:sz="3" w:space="0" w:color="000000"/>
              <w:left w:val="single" w:sz="3" w:space="0" w:color="000000"/>
              <w:bottom w:val="single" w:sz="3" w:space="0" w:color="000000"/>
              <w:right w:val="single" w:sz="3" w:space="0" w:color="000000"/>
            </w:tcBorders>
          </w:tcPr>
          <w:p w14:paraId="4E697D11" w14:textId="77777777" w:rsidR="00541219" w:rsidRDefault="00000000">
            <w:pPr>
              <w:spacing w:after="0" w:line="258" w:lineRule="auto"/>
              <w:ind w:left="5" w:firstLine="0"/>
            </w:pPr>
            <w:r>
              <w:rPr>
                <w:color w:val="FF0000"/>
              </w:rPr>
              <w:t xml:space="preserve">X - </w:t>
            </w:r>
            <w:proofErr w:type="gramStart"/>
            <w:r>
              <w:rPr>
                <w:color w:val="FF0000"/>
              </w:rPr>
              <w:t>os</w:t>
            </w:r>
            <w:proofErr w:type="gramEnd"/>
            <w:r>
              <w:rPr>
                <w:color w:val="FF0000"/>
              </w:rPr>
              <w:t xml:space="preserve"> custos de capital entre revisões tarifárias deverão ser considerados nos processos de reajuste tarifário, conforme regulação a ser definida pela </w:t>
            </w:r>
          </w:p>
          <w:p w14:paraId="3FEFCB92" w14:textId="77777777" w:rsidR="00541219" w:rsidRDefault="00000000">
            <w:pPr>
              <w:spacing w:after="0"/>
              <w:ind w:left="5" w:firstLine="0"/>
            </w:pPr>
            <w:r>
              <w:rPr>
                <w:color w:val="FF0000"/>
              </w:rPr>
              <w:t>ANEEL.</w:t>
            </w:r>
          </w:p>
        </w:tc>
        <w:tc>
          <w:tcPr>
            <w:tcW w:w="3473" w:type="dxa"/>
            <w:tcBorders>
              <w:top w:val="single" w:sz="3" w:space="0" w:color="000000"/>
              <w:left w:val="single" w:sz="3" w:space="0" w:color="000000"/>
              <w:bottom w:val="single" w:sz="3" w:space="0" w:color="000000"/>
              <w:right w:val="single" w:sz="3" w:space="0" w:color="000000"/>
            </w:tcBorders>
          </w:tcPr>
          <w:p w14:paraId="6D616412" w14:textId="77777777" w:rsidR="00541219" w:rsidRDefault="00000000">
            <w:pPr>
              <w:spacing w:after="0"/>
              <w:ind w:left="5" w:right="72" w:firstLine="0"/>
              <w:jc w:val="both"/>
            </w:pPr>
            <w:r>
              <w:t>Visando incentivar que as DISTRIBUIDORAS elaborem e implementem plano de expansão e de investimentos diluído e realizado de forma mais uniforme a cada ano, e não concentrado na véspera da Revisão Tarifária como acontece atualmente.</w:t>
            </w:r>
          </w:p>
        </w:tc>
      </w:tr>
      <w:tr w:rsidR="00541219" w14:paraId="4F03EFE7"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282CFD6D" w14:textId="77777777" w:rsidR="00541219" w:rsidRDefault="00000000">
            <w:pPr>
              <w:spacing w:after="0"/>
              <w:ind w:left="0" w:firstLine="0"/>
            </w:pPr>
            <w:r>
              <w:rPr>
                <w:sz w:val="7"/>
              </w:rPr>
              <w:t xml:space="preserve">Subcláusula Décima Terceira – As revisões tarifárias ordinárias obedecerão ao seguinte cronograma: a primeira revisão será procedida em </w:t>
            </w:r>
            <w:proofErr w:type="spellStart"/>
            <w:r>
              <w:rPr>
                <w:sz w:val="7"/>
              </w:rPr>
              <w:t>xx</w:t>
            </w:r>
            <w:proofErr w:type="spellEnd"/>
            <w:r>
              <w:rPr>
                <w:sz w:val="7"/>
              </w:rPr>
              <w:t>/</w:t>
            </w:r>
            <w:proofErr w:type="spellStart"/>
            <w:r>
              <w:rPr>
                <w:sz w:val="7"/>
              </w:rPr>
              <w:t>xx</w:t>
            </w:r>
            <w:proofErr w:type="spellEnd"/>
            <w:r>
              <w:rPr>
                <w:sz w:val="7"/>
              </w:rPr>
              <w:t>/</w:t>
            </w:r>
            <w:proofErr w:type="spellStart"/>
            <w:r>
              <w:rPr>
                <w:sz w:val="7"/>
              </w:rPr>
              <w:t>xxxx</w:t>
            </w:r>
            <w:proofErr w:type="spellEnd"/>
            <w:r>
              <w:rPr>
                <w:sz w:val="7"/>
              </w:rPr>
              <w:t xml:space="preserve"> e as subsequentes serão realizadas a cada 5 (cinco) anos a partir desta data.</w:t>
            </w:r>
          </w:p>
        </w:tc>
        <w:tc>
          <w:tcPr>
            <w:tcW w:w="6514" w:type="dxa"/>
            <w:gridSpan w:val="2"/>
            <w:vMerge w:val="restart"/>
            <w:tcBorders>
              <w:top w:val="single" w:sz="3" w:space="0" w:color="000000"/>
              <w:left w:val="single" w:sz="3" w:space="0" w:color="000000"/>
              <w:bottom w:val="nil"/>
              <w:right w:val="nil"/>
            </w:tcBorders>
          </w:tcPr>
          <w:p w14:paraId="610319DC" w14:textId="77777777" w:rsidR="00541219" w:rsidRDefault="00541219">
            <w:pPr>
              <w:spacing w:after="160"/>
              <w:ind w:left="0" w:firstLine="0"/>
            </w:pPr>
          </w:p>
        </w:tc>
      </w:tr>
      <w:tr w:rsidR="00541219" w14:paraId="56A04E25"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651748BB" w14:textId="77777777" w:rsidR="00541219" w:rsidRDefault="00000000">
            <w:pPr>
              <w:spacing w:after="0"/>
              <w:ind w:left="0" w:firstLine="0"/>
            </w:pPr>
            <w:r>
              <w:rPr>
                <w:sz w:val="7"/>
              </w:rPr>
              <w:t>Subcláusula Décima Quarta – Na revisão tarifária ordinária aplica-se o disposto na Subcláusula Sexta desta Cláusula para a definição do Valor da Parcela A.</w:t>
            </w:r>
          </w:p>
        </w:tc>
        <w:tc>
          <w:tcPr>
            <w:tcW w:w="0" w:type="auto"/>
            <w:gridSpan w:val="2"/>
            <w:vMerge/>
            <w:tcBorders>
              <w:top w:val="nil"/>
              <w:left w:val="single" w:sz="3" w:space="0" w:color="000000"/>
              <w:bottom w:val="nil"/>
              <w:right w:val="nil"/>
            </w:tcBorders>
          </w:tcPr>
          <w:p w14:paraId="494E29A4" w14:textId="77777777" w:rsidR="00541219" w:rsidRDefault="00541219">
            <w:pPr>
              <w:spacing w:after="160"/>
              <w:ind w:left="0" w:firstLine="0"/>
            </w:pPr>
          </w:p>
        </w:tc>
      </w:tr>
      <w:tr w:rsidR="00541219" w14:paraId="6B70B105" w14:textId="77777777">
        <w:trPr>
          <w:trHeight w:val="458"/>
        </w:trPr>
        <w:tc>
          <w:tcPr>
            <w:tcW w:w="3727" w:type="dxa"/>
            <w:tcBorders>
              <w:top w:val="single" w:sz="3" w:space="0" w:color="000000"/>
              <w:left w:val="single" w:sz="3" w:space="0" w:color="000000"/>
              <w:bottom w:val="single" w:sz="3" w:space="0" w:color="000000"/>
              <w:right w:val="single" w:sz="3" w:space="0" w:color="000000"/>
            </w:tcBorders>
          </w:tcPr>
          <w:p w14:paraId="5EE2CBEA" w14:textId="77777777" w:rsidR="00541219" w:rsidRDefault="00000000">
            <w:pPr>
              <w:spacing w:after="0" w:line="254" w:lineRule="auto"/>
              <w:ind w:left="0" w:firstLine="0"/>
            </w:pPr>
            <w:r>
              <w:rPr>
                <w:sz w:val="7"/>
              </w:rPr>
              <w:t xml:space="preserve">Subcláusula Décima Quinta – Nos processos tarifários serão estabelecidos os valores ou a forma de cálculo do Fator X, com o objetivo de repassar aos usuários ganhos de produtividade observados no setor de distribuição de energia elétrica e resultados decorrentes de mecanismos de incentivos, que poderão contemplar estímulos à melhora na qualidade do serviço, à eficiência energética e à modernização das redes, conforme regulação da </w:t>
            </w:r>
          </w:p>
          <w:p w14:paraId="3DB5AE1E" w14:textId="77777777" w:rsidR="00541219" w:rsidRDefault="00000000">
            <w:pPr>
              <w:spacing w:after="0"/>
              <w:ind w:left="0" w:firstLine="0"/>
            </w:pPr>
            <w:r>
              <w:rPr>
                <w:sz w:val="7"/>
              </w:rPr>
              <w:t>ANEEL.</w:t>
            </w:r>
          </w:p>
        </w:tc>
        <w:tc>
          <w:tcPr>
            <w:tcW w:w="0" w:type="auto"/>
            <w:gridSpan w:val="2"/>
            <w:vMerge/>
            <w:tcBorders>
              <w:top w:val="nil"/>
              <w:left w:val="single" w:sz="3" w:space="0" w:color="000000"/>
              <w:bottom w:val="nil"/>
              <w:right w:val="nil"/>
            </w:tcBorders>
          </w:tcPr>
          <w:p w14:paraId="7DE59421" w14:textId="77777777" w:rsidR="00541219" w:rsidRDefault="00541219">
            <w:pPr>
              <w:spacing w:after="160"/>
              <w:ind w:left="0" w:firstLine="0"/>
            </w:pPr>
          </w:p>
        </w:tc>
      </w:tr>
      <w:tr w:rsidR="00541219" w14:paraId="6D182837" w14:textId="77777777">
        <w:trPr>
          <w:trHeight w:val="458"/>
        </w:trPr>
        <w:tc>
          <w:tcPr>
            <w:tcW w:w="3727" w:type="dxa"/>
            <w:tcBorders>
              <w:top w:val="single" w:sz="3" w:space="0" w:color="000000"/>
              <w:left w:val="single" w:sz="3" w:space="0" w:color="000000"/>
              <w:bottom w:val="single" w:sz="3" w:space="0" w:color="000000"/>
              <w:right w:val="single" w:sz="3" w:space="0" w:color="000000"/>
            </w:tcBorders>
          </w:tcPr>
          <w:p w14:paraId="5D43F08B" w14:textId="77777777" w:rsidR="00541219" w:rsidRDefault="00000000">
            <w:pPr>
              <w:spacing w:after="0"/>
              <w:ind w:left="0" w:right="5" w:firstLine="0"/>
            </w:pPr>
            <w:r>
              <w:rPr>
                <w:sz w:val="7"/>
              </w:rPr>
              <w:t xml:space="preserve">Subcláusula Décima Sexta – A pedido da DISTRIBUIDORA, a ANEEL poderá, considerando o nível eficiente de custos, proceder à revisão tarifária extraordinária, visando restabelecer o equilíbrio econômico-financeiro deste CONTRATO, sem prejuízo dos reposicionamentos tarifários ordinários, caso sejam comprovadas alterações significativas nos custos e nas receitas da DISTRIBUIDORA, que não decorram da ação ou da omissão desta, de acordo com o parágrafo único da Cláusula </w:t>
            </w:r>
            <w:proofErr w:type="gramStart"/>
            <w:r>
              <w:rPr>
                <w:sz w:val="7"/>
              </w:rPr>
              <w:t>XXX..</w:t>
            </w:r>
            <w:proofErr w:type="gramEnd"/>
          </w:p>
        </w:tc>
        <w:tc>
          <w:tcPr>
            <w:tcW w:w="0" w:type="auto"/>
            <w:gridSpan w:val="2"/>
            <w:vMerge/>
            <w:tcBorders>
              <w:top w:val="nil"/>
              <w:left w:val="single" w:sz="3" w:space="0" w:color="000000"/>
              <w:bottom w:val="nil"/>
              <w:right w:val="nil"/>
            </w:tcBorders>
          </w:tcPr>
          <w:p w14:paraId="126FFBB6" w14:textId="77777777" w:rsidR="00541219" w:rsidRDefault="00541219">
            <w:pPr>
              <w:spacing w:after="160"/>
              <w:ind w:left="0" w:firstLine="0"/>
            </w:pPr>
          </w:p>
        </w:tc>
      </w:tr>
      <w:tr w:rsidR="00541219" w14:paraId="5C2A156D" w14:textId="77777777">
        <w:trPr>
          <w:trHeight w:val="365"/>
        </w:trPr>
        <w:tc>
          <w:tcPr>
            <w:tcW w:w="3727" w:type="dxa"/>
            <w:tcBorders>
              <w:top w:val="single" w:sz="3" w:space="0" w:color="000000"/>
              <w:left w:val="single" w:sz="3" w:space="0" w:color="000000"/>
              <w:bottom w:val="single" w:sz="3" w:space="0" w:color="000000"/>
              <w:right w:val="single" w:sz="3" w:space="0" w:color="000000"/>
            </w:tcBorders>
          </w:tcPr>
          <w:p w14:paraId="52CBC189" w14:textId="77777777" w:rsidR="00541219" w:rsidRDefault="00000000">
            <w:pPr>
              <w:spacing w:after="0"/>
              <w:ind w:left="0" w:firstLine="0"/>
            </w:pPr>
            <w:r>
              <w:rPr>
                <w:sz w:val="7"/>
              </w:rPr>
              <w:t>Subcláusula Décima Sétima – As receitas auferidas pela DISTRIBUIDORA no exercício de outras atividades empresariais, referidas na Subcláusula Quinta da Cláusula Primeira, denominadas Outras Receitas, serão revertidas parcialmente à modicidade tarifária nos reposicionamentos tarifários ou às ações de que tratam os incisos XIX e XX da Cláusula Terceira, conforme regulação da ANEEL.</w:t>
            </w:r>
          </w:p>
        </w:tc>
        <w:tc>
          <w:tcPr>
            <w:tcW w:w="0" w:type="auto"/>
            <w:gridSpan w:val="2"/>
            <w:vMerge/>
            <w:tcBorders>
              <w:top w:val="nil"/>
              <w:left w:val="single" w:sz="3" w:space="0" w:color="000000"/>
              <w:bottom w:val="nil"/>
              <w:right w:val="nil"/>
            </w:tcBorders>
          </w:tcPr>
          <w:p w14:paraId="6DCC92D6" w14:textId="77777777" w:rsidR="00541219" w:rsidRDefault="00541219">
            <w:pPr>
              <w:spacing w:after="160"/>
              <w:ind w:left="0" w:firstLine="0"/>
            </w:pPr>
          </w:p>
        </w:tc>
      </w:tr>
      <w:tr w:rsidR="00541219" w14:paraId="4A5B95B0" w14:textId="77777777">
        <w:trPr>
          <w:trHeight w:val="641"/>
        </w:trPr>
        <w:tc>
          <w:tcPr>
            <w:tcW w:w="3727" w:type="dxa"/>
            <w:tcBorders>
              <w:top w:val="single" w:sz="3" w:space="0" w:color="000000"/>
              <w:left w:val="single" w:sz="3" w:space="0" w:color="000000"/>
              <w:bottom w:val="single" w:sz="3" w:space="0" w:color="000000"/>
              <w:right w:val="single" w:sz="3" w:space="0" w:color="000000"/>
            </w:tcBorders>
          </w:tcPr>
          <w:p w14:paraId="5584CFD6" w14:textId="77777777" w:rsidR="00541219" w:rsidRDefault="00000000">
            <w:pPr>
              <w:spacing w:after="0"/>
              <w:ind w:left="0" w:right="20" w:firstLine="0"/>
            </w:pPr>
            <w:r>
              <w:rPr>
                <w:sz w:val="7"/>
              </w:rPr>
              <w:t>Subcláusula Décima Oitava – Nos reajustes tarifários e revisões tarifárias ordinárias a ANEEL garantirá a neutralidade aos itens da Parcela A, a ser considerada nos ajustes da receita da DISTRIBUIDORA referidos na Subcláusula Sexta desta Cláusula, consideradas as diferenças mensais apuradas entre os valores faturados de cada item no Período de Referência e os respectivos valores contemplados no reposicionamento tarifário anterior, devidamente remuneradas com base no mesmo índice utilizado na apuração do saldo da Conta de Compensação de Variação de Valores de Itens da Parcela A – CVA, observando:</w:t>
            </w:r>
          </w:p>
        </w:tc>
        <w:tc>
          <w:tcPr>
            <w:tcW w:w="0" w:type="auto"/>
            <w:gridSpan w:val="2"/>
            <w:vMerge/>
            <w:tcBorders>
              <w:top w:val="nil"/>
              <w:left w:val="single" w:sz="3" w:space="0" w:color="000000"/>
              <w:bottom w:val="nil"/>
              <w:right w:val="nil"/>
            </w:tcBorders>
          </w:tcPr>
          <w:p w14:paraId="63262B64" w14:textId="77777777" w:rsidR="00541219" w:rsidRDefault="00541219">
            <w:pPr>
              <w:spacing w:after="160"/>
              <w:ind w:left="0" w:firstLine="0"/>
            </w:pPr>
          </w:p>
        </w:tc>
      </w:tr>
      <w:tr w:rsidR="00541219" w14:paraId="7298CF2E" w14:textId="77777777">
        <w:trPr>
          <w:trHeight w:val="145"/>
        </w:trPr>
        <w:tc>
          <w:tcPr>
            <w:tcW w:w="10240" w:type="dxa"/>
            <w:gridSpan w:val="3"/>
            <w:tcBorders>
              <w:top w:val="single" w:sz="6" w:space="0" w:color="000000"/>
              <w:left w:val="single" w:sz="6" w:space="0" w:color="000000"/>
              <w:bottom w:val="single" w:sz="3" w:space="0" w:color="000000"/>
              <w:right w:val="single" w:sz="6" w:space="0" w:color="000000"/>
            </w:tcBorders>
          </w:tcPr>
          <w:p w14:paraId="368A4C2B" w14:textId="77777777" w:rsidR="00541219" w:rsidRDefault="00000000">
            <w:pPr>
              <w:spacing w:after="0"/>
              <w:ind w:left="14" w:firstLine="0"/>
              <w:jc w:val="center"/>
            </w:pPr>
            <w:r>
              <w:rPr>
                <w:color w:val="0000FF"/>
                <w:sz w:val="12"/>
              </w:rPr>
              <w:t>CONTRIBUIÇÃO REFERENTE À CONSULTA PÚBLICA Nº 27/2024</w:t>
            </w:r>
          </w:p>
        </w:tc>
      </w:tr>
      <w:tr w:rsidR="00541219" w14:paraId="20B06219" w14:textId="77777777">
        <w:trPr>
          <w:trHeight w:val="144"/>
        </w:trPr>
        <w:tc>
          <w:tcPr>
            <w:tcW w:w="10240" w:type="dxa"/>
            <w:gridSpan w:val="3"/>
            <w:tcBorders>
              <w:top w:val="single" w:sz="3" w:space="0" w:color="000000"/>
              <w:left w:val="single" w:sz="6" w:space="0" w:color="000000"/>
              <w:bottom w:val="single" w:sz="3" w:space="0" w:color="000000"/>
              <w:right w:val="single" w:sz="6" w:space="0" w:color="000000"/>
            </w:tcBorders>
          </w:tcPr>
          <w:p w14:paraId="6B511570" w14:textId="28A3FDCB" w:rsidR="00541219" w:rsidRDefault="00000000">
            <w:pPr>
              <w:spacing w:after="0"/>
              <w:ind w:left="0" w:firstLine="0"/>
              <w:jc w:val="center"/>
            </w:pPr>
            <w:r>
              <w:rPr>
                <w:color w:val="0000FF"/>
                <w:sz w:val="12"/>
              </w:rPr>
              <w:t>NOME DA INSTITUIÇÃO:</w:t>
            </w:r>
            <w:r w:rsidR="00325464">
              <w:rPr>
                <w:color w:val="0000FF"/>
                <w:sz w:val="12"/>
              </w:rPr>
              <w:t xml:space="preserve"> </w:t>
            </w:r>
            <w:r w:rsidR="00325464">
              <w:rPr>
                <w:color w:val="0000FF"/>
                <w:sz w:val="12"/>
              </w:rPr>
              <w:t>Conselho de Consumidores da Área de Concessão da Energisa no Mato Grosso do Sul – CONCEN-MS</w:t>
            </w:r>
          </w:p>
        </w:tc>
      </w:tr>
      <w:tr w:rsidR="00541219" w14:paraId="6708E021" w14:textId="77777777">
        <w:trPr>
          <w:trHeight w:val="144"/>
        </w:trPr>
        <w:tc>
          <w:tcPr>
            <w:tcW w:w="10240" w:type="dxa"/>
            <w:gridSpan w:val="3"/>
            <w:tcBorders>
              <w:top w:val="single" w:sz="3" w:space="0" w:color="000000"/>
              <w:left w:val="single" w:sz="6" w:space="0" w:color="000000"/>
              <w:bottom w:val="single" w:sz="3" w:space="0" w:color="000000"/>
              <w:right w:val="single" w:sz="6" w:space="0" w:color="000000"/>
            </w:tcBorders>
          </w:tcPr>
          <w:p w14:paraId="29B02F07" w14:textId="77777777" w:rsidR="00541219" w:rsidRDefault="00000000">
            <w:pPr>
              <w:tabs>
                <w:tab w:val="center" w:pos="728"/>
                <w:tab w:val="center" w:pos="5110"/>
              </w:tabs>
              <w:spacing w:after="0"/>
              <w:ind w:left="0" w:firstLine="0"/>
            </w:pPr>
            <w:r>
              <w:rPr>
                <w:rFonts w:ascii="Calibri" w:eastAsia="Calibri" w:hAnsi="Calibri" w:cs="Calibri"/>
                <w:sz w:val="22"/>
              </w:rPr>
              <w:tab/>
            </w:r>
            <w:r>
              <w:rPr>
                <w:noProof/>
              </w:rPr>
              <w:drawing>
                <wp:inline distT="0" distB="0" distL="0" distR="0" wp14:anchorId="67D33C21" wp14:editId="2DB6B055">
                  <wp:extent cx="559308" cy="344424"/>
                  <wp:effectExtent l="0" t="0" r="0" b="0"/>
                  <wp:docPr id="6374" name="Picture 6374"/>
                  <wp:cNvGraphicFramePr/>
                  <a:graphic xmlns:a="http://schemas.openxmlformats.org/drawingml/2006/main">
                    <a:graphicData uri="http://schemas.openxmlformats.org/drawingml/2006/picture">
                      <pic:pic xmlns:pic="http://schemas.openxmlformats.org/drawingml/2006/picture">
                        <pic:nvPicPr>
                          <pic:cNvPr id="6374" name="Picture 6374"/>
                          <pic:cNvPicPr/>
                        </pic:nvPicPr>
                        <pic:blipFill>
                          <a:blip r:embed="rId5"/>
                          <a:stretch>
                            <a:fillRect/>
                          </a:stretch>
                        </pic:blipFill>
                        <pic:spPr>
                          <a:xfrm>
                            <a:off x="0" y="0"/>
                            <a:ext cx="559308" cy="344424"/>
                          </a:xfrm>
                          <a:prstGeom prst="rect">
                            <a:avLst/>
                          </a:prstGeom>
                        </pic:spPr>
                      </pic:pic>
                    </a:graphicData>
                  </a:graphic>
                </wp:inline>
              </w:drawing>
            </w:r>
            <w:r>
              <w:rPr>
                <w:color w:val="0000FF"/>
                <w:sz w:val="12"/>
              </w:rPr>
              <w:tab/>
              <w:t>AGÊNCIA NACIONAL DE ENERGIA ELÉTRICA – ANEEL</w:t>
            </w:r>
          </w:p>
        </w:tc>
      </w:tr>
      <w:tr w:rsidR="00541219" w14:paraId="2B6A4FAB" w14:textId="77777777">
        <w:trPr>
          <w:trHeight w:val="173"/>
        </w:trPr>
        <w:tc>
          <w:tcPr>
            <w:tcW w:w="10240" w:type="dxa"/>
            <w:gridSpan w:val="3"/>
            <w:tcBorders>
              <w:top w:val="single" w:sz="3" w:space="0" w:color="000000"/>
              <w:left w:val="single" w:sz="6" w:space="0" w:color="000000"/>
              <w:bottom w:val="single" w:sz="3" w:space="0" w:color="000000"/>
              <w:right w:val="single" w:sz="6" w:space="0" w:color="000000"/>
            </w:tcBorders>
          </w:tcPr>
          <w:p w14:paraId="5A8B41DB" w14:textId="77777777" w:rsidR="00541219" w:rsidRDefault="00000000">
            <w:pPr>
              <w:spacing w:after="0"/>
              <w:ind w:left="12" w:firstLine="0"/>
              <w:jc w:val="center"/>
            </w:pPr>
            <w:r>
              <w:rPr>
                <w:color w:val="0000FF"/>
              </w:rPr>
              <w:t>ATO REGULATÓRIO: TERMO ADITIVO AO CONTRATO DE CONCESSÃO DE SERVIÇO PÚBLICO DE DISTRIBUIÇÃO DE ENERGIA ELÉTRICA No XX/XX-ANEEL</w:t>
            </w:r>
          </w:p>
        </w:tc>
      </w:tr>
      <w:tr w:rsidR="00541219" w14:paraId="2E82D25B" w14:textId="77777777">
        <w:trPr>
          <w:trHeight w:val="187"/>
        </w:trPr>
        <w:tc>
          <w:tcPr>
            <w:tcW w:w="10240" w:type="dxa"/>
            <w:gridSpan w:val="3"/>
            <w:tcBorders>
              <w:top w:val="single" w:sz="3" w:space="0" w:color="000000"/>
              <w:left w:val="single" w:sz="6" w:space="0" w:color="000000"/>
              <w:bottom w:val="single" w:sz="3" w:space="0" w:color="000000"/>
              <w:right w:val="single" w:sz="6" w:space="0" w:color="000000"/>
            </w:tcBorders>
          </w:tcPr>
          <w:p w14:paraId="287F162F" w14:textId="77777777" w:rsidR="00541219" w:rsidRDefault="00000000">
            <w:pPr>
              <w:spacing w:after="0"/>
              <w:ind w:left="2" w:firstLine="0"/>
              <w:jc w:val="center"/>
            </w:pPr>
            <w:r>
              <w:rPr>
                <w:color w:val="0000FF"/>
              </w:rPr>
              <w:t xml:space="preserve">                                                               EMENTA: Obter subsídios para o aprimoramento da minuta de termo aditivo ao contrato de concessão de distribuição de energia elétrica com vistas à prorrogação das concessões.</w:t>
            </w:r>
          </w:p>
        </w:tc>
      </w:tr>
      <w:tr w:rsidR="00541219" w14:paraId="27EC0EC4" w14:textId="77777777">
        <w:trPr>
          <w:trHeight w:val="130"/>
        </w:trPr>
        <w:tc>
          <w:tcPr>
            <w:tcW w:w="10240" w:type="dxa"/>
            <w:gridSpan w:val="3"/>
            <w:tcBorders>
              <w:top w:val="single" w:sz="3" w:space="0" w:color="000000"/>
              <w:left w:val="single" w:sz="6" w:space="0" w:color="000000"/>
              <w:bottom w:val="single" w:sz="3" w:space="0" w:color="000000"/>
              <w:right w:val="single" w:sz="6" w:space="0" w:color="000000"/>
            </w:tcBorders>
          </w:tcPr>
          <w:p w14:paraId="6BCCB942" w14:textId="77777777" w:rsidR="00541219" w:rsidRDefault="00000000">
            <w:pPr>
              <w:spacing w:after="0"/>
              <w:ind w:left="0" w:right="2" w:firstLine="0"/>
              <w:jc w:val="center"/>
            </w:pPr>
            <w:r>
              <w:rPr>
                <w:color w:val="0000FF"/>
                <w:sz w:val="10"/>
              </w:rPr>
              <w:t>CONTRIBUIÇÕES RECEBIDAS</w:t>
            </w:r>
          </w:p>
        </w:tc>
      </w:tr>
      <w:tr w:rsidR="00541219" w14:paraId="4BE1C930" w14:textId="77777777">
        <w:trPr>
          <w:trHeight w:val="268"/>
        </w:trPr>
        <w:tc>
          <w:tcPr>
            <w:tcW w:w="10240" w:type="dxa"/>
            <w:gridSpan w:val="3"/>
            <w:tcBorders>
              <w:top w:val="single" w:sz="3" w:space="0" w:color="000000"/>
              <w:left w:val="single" w:sz="6" w:space="0" w:color="000000"/>
              <w:bottom w:val="single" w:sz="6" w:space="0" w:color="000000"/>
              <w:right w:val="single" w:sz="6" w:space="0" w:color="000000"/>
            </w:tcBorders>
          </w:tcPr>
          <w:p w14:paraId="25FF3D5C" w14:textId="77777777" w:rsidR="00541219" w:rsidRDefault="00000000">
            <w:pPr>
              <w:spacing w:after="0"/>
              <w:ind w:left="0" w:firstLine="0"/>
            </w:pPr>
            <w:r>
              <w:t>IMPORTANTE: Os comentários e sugestões referentes às contribuições deverão ser fundamentados e justificados, mencionando-se os artigos, parágrafos e incisos a que se referem, devendo ser acompanhados de textos alternativos e substitutivos quando envolverem sugestões de inclusão ou alteração, parcial ou total, de qualquer dispositivo.</w:t>
            </w:r>
          </w:p>
        </w:tc>
      </w:tr>
      <w:tr w:rsidR="00541219" w14:paraId="4EF88845" w14:textId="77777777">
        <w:trPr>
          <w:trHeight w:val="209"/>
        </w:trPr>
        <w:tc>
          <w:tcPr>
            <w:tcW w:w="3727" w:type="dxa"/>
            <w:tcBorders>
              <w:top w:val="single" w:sz="6" w:space="0" w:color="000000"/>
              <w:left w:val="single" w:sz="6" w:space="0" w:color="000000"/>
              <w:bottom w:val="double" w:sz="4" w:space="0" w:color="000000"/>
              <w:right w:val="single" w:sz="6" w:space="0" w:color="000000"/>
            </w:tcBorders>
            <w:shd w:val="clear" w:color="auto" w:fill="FF0000"/>
          </w:tcPr>
          <w:p w14:paraId="2FF01D51" w14:textId="77777777" w:rsidR="00541219" w:rsidRDefault="00000000">
            <w:pPr>
              <w:spacing w:after="0"/>
              <w:ind w:left="0" w:right="1" w:firstLine="0"/>
              <w:jc w:val="center"/>
            </w:pPr>
            <w:r>
              <w:rPr>
                <w:color w:val="FFFFFF"/>
                <w:sz w:val="10"/>
              </w:rPr>
              <w:lastRenderedPageBreak/>
              <w:t xml:space="preserve">TEXTO/ANEEL </w:t>
            </w:r>
          </w:p>
        </w:tc>
        <w:tc>
          <w:tcPr>
            <w:tcW w:w="3041" w:type="dxa"/>
            <w:tcBorders>
              <w:top w:val="single" w:sz="6" w:space="0" w:color="000000"/>
              <w:left w:val="single" w:sz="6" w:space="0" w:color="000000"/>
              <w:bottom w:val="single" w:sz="6" w:space="0" w:color="000000"/>
              <w:right w:val="single" w:sz="6" w:space="0" w:color="000000"/>
            </w:tcBorders>
            <w:shd w:val="clear" w:color="auto" w:fill="FF0000"/>
          </w:tcPr>
          <w:p w14:paraId="29A16EF7" w14:textId="77777777" w:rsidR="00541219" w:rsidRDefault="00000000">
            <w:pPr>
              <w:spacing w:after="0"/>
              <w:ind w:left="6" w:firstLine="0"/>
              <w:jc w:val="center"/>
            </w:pPr>
            <w:r>
              <w:rPr>
                <w:color w:val="FFFFFF"/>
                <w:sz w:val="10"/>
              </w:rPr>
              <w:t>TEXTO/INSTITUIÇÃO</w:t>
            </w:r>
          </w:p>
        </w:tc>
        <w:tc>
          <w:tcPr>
            <w:tcW w:w="3473" w:type="dxa"/>
            <w:tcBorders>
              <w:top w:val="single" w:sz="6" w:space="0" w:color="000000"/>
              <w:left w:val="single" w:sz="6" w:space="0" w:color="000000"/>
              <w:bottom w:val="single" w:sz="6" w:space="0" w:color="000000"/>
              <w:right w:val="single" w:sz="6" w:space="0" w:color="000000"/>
            </w:tcBorders>
            <w:shd w:val="clear" w:color="auto" w:fill="FF0000"/>
          </w:tcPr>
          <w:p w14:paraId="312AB899" w14:textId="77777777" w:rsidR="00541219" w:rsidRDefault="00000000">
            <w:pPr>
              <w:spacing w:after="0"/>
              <w:ind w:left="2" w:firstLine="0"/>
              <w:jc w:val="center"/>
            </w:pPr>
            <w:r>
              <w:rPr>
                <w:color w:val="FFFFFF"/>
                <w:sz w:val="10"/>
              </w:rPr>
              <w:t>JUSTIFICATIVA/INSTITUIÇÃO</w:t>
            </w:r>
          </w:p>
        </w:tc>
      </w:tr>
      <w:tr w:rsidR="00541219" w14:paraId="64CEF4D9" w14:textId="77777777">
        <w:trPr>
          <w:trHeight w:val="376"/>
        </w:trPr>
        <w:tc>
          <w:tcPr>
            <w:tcW w:w="3727" w:type="dxa"/>
            <w:tcBorders>
              <w:top w:val="double" w:sz="4" w:space="0" w:color="000000"/>
              <w:left w:val="single" w:sz="3" w:space="0" w:color="000000"/>
              <w:bottom w:val="single" w:sz="3" w:space="0" w:color="000000"/>
              <w:right w:val="single" w:sz="3" w:space="0" w:color="000000"/>
            </w:tcBorders>
          </w:tcPr>
          <w:p w14:paraId="2F908BDF" w14:textId="77777777" w:rsidR="00541219" w:rsidRDefault="00000000">
            <w:pPr>
              <w:spacing w:after="0"/>
              <w:ind w:left="497" w:firstLine="0"/>
            </w:pPr>
            <w:r>
              <w:rPr>
                <w:sz w:val="7"/>
              </w:rPr>
              <w:t xml:space="preserve">     I – </w:t>
            </w:r>
            <w:proofErr w:type="gramStart"/>
            <w:r>
              <w:rPr>
                <w:sz w:val="7"/>
              </w:rPr>
              <w:t>no</w:t>
            </w:r>
            <w:proofErr w:type="gramEnd"/>
            <w:r>
              <w:rPr>
                <w:sz w:val="7"/>
              </w:rPr>
              <w:t xml:space="preserve"> cálculo da neutralidade dos Custos de Conexão e de Uso das Instalações de </w:t>
            </w:r>
          </w:p>
          <w:p w14:paraId="5752A474" w14:textId="77777777" w:rsidR="00541219" w:rsidRDefault="00000000">
            <w:pPr>
              <w:spacing w:after="0"/>
              <w:ind w:left="497" w:right="121" w:firstLine="0"/>
              <w:jc w:val="both"/>
            </w:pPr>
            <w:r>
              <w:rPr>
                <w:sz w:val="7"/>
              </w:rPr>
              <w:t>Transmissão e/ou Distribuição de Energia Elétrica: as contratações eficientes de montantes de uso dos sistemas de transmissão e de distribuição e de pontos de conexão ou contratações de terceiros cuja responsabilidade pelo pagamento seja da DISTRIBUIDORA;</w:t>
            </w:r>
          </w:p>
        </w:tc>
        <w:tc>
          <w:tcPr>
            <w:tcW w:w="6514" w:type="dxa"/>
            <w:gridSpan w:val="2"/>
            <w:vMerge w:val="restart"/>
            <w:tcBorders>
              <w:top w:val="single" w:sz="6" w:space="0" w:color="000000"/>
              <w:left w:val="single" w:sz="3" w:space="0" w:color="000000"/>
              <w:bottom w:val="nil"/>
              <w:right w:val="nil"/>
            </w:tcBorders>
          </w:tcPr>
          <w:p w14:paraId="187BEA0F" w14:textId="77777777" w:rsidR="00541219" w:rsidRDefault="00541219">
            <w:pPr>
              <w:spacing w:after="160"/>
              <w:ind w:left="0" w:firstLine="0"/>
            </w:pPr>
          </w:p>
        </w:tc>
      </w:tr>
      <w:tr w:rsidR="00541219" w14:paraId="759BDC06"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729419E5" w14:textId="77777777" w:rsidR="00541219" w:rsidRDefault="00000000">
            <w:pPr>
              <w:spacing w:after="0"/>
              <w:ind w:left="497" w:firstLine="0"/>
            </w:pPr>
            <w:r>
              <w:rPr>
                <w:sz w:val="7"/>
              </w:rPr>
              <w:t xml:space="preserve">     II – </w:t>
            </w:r>
            <w:proofErr w:type="gramStart"/>
            <w:r>
              <w:rPr>
                <w:sz w:val="7"/>
              </w:rPr>
              <w:t>no</w:t>
            </w:r>
            <w:proofErr w:type="gramEnd"/>
            <w:r>
              <w:rPr>
                <w:sz w:val="7"/>
              </w:rPr>
              <w:t xml:space="preserve"> cálculo da neutralidade dos custos de Energia Elétrica Comprada: os níveis eficientes de perdas, observado o disposto na Subcláusula Sétima desta Cláusula e na Subcláusula Vigésima desta Cláusula; e</w:t>
            </w:r>
          </w:p>
        </w:tc>
        <w:tc>
          <w:tcPr>
            <w:tcW w:w="0" w:type="auto"/>
            <w:gridSpan w:val="2"/>
            <w:vMerge/>
            <w:tcBorders>
              <w:top w:val="nil"/>
              <w:left w:val="single" w:sz="3" w:space="0" w:color="000000"/>
              <w:bottom w:val="nil"/>
              <w:right w:val="nil"/>
            </w:tcBorders>
          </w:tcPr>
          <w:p w14:paraId="36B26A11" w14:textId="77777777" w:rsidR="00541219" w:rsidRDefault="00541219">
            <w:pPr>
              <w:spacing w:after="160"/>
              <w:ind w:left="0" w:firstLine="0"/>
            </w:pPr>
          </w:p>
        </w:tc>
      </w:tr>
      <w:tr w:rsidR="00541219" w14:paraId="4B1B830D"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7754C7D0" w14:textId="77777777" w:rsidR="00541219" w:rsidRDefault="00000000">
            <w:pPr>
              <w:spacing w:after="0"/>
              <w:ind w:left="497" w:firstLine="0"/>
              <w:jc w:val="both"/>
            </w:pPr>
            <w:r>
              <w:rPr>
                <w:sz w:val="7"/>
              </w:rPr>
              <w:t xml:space="preserve">     III – no cálculo da neutralidade das Receitas Irrecuperáveis: os percentuais regulatórios de receitas irrecuperáveis, conforme Subcláusula Oitava desta Cláusula.</w:t>
            </w:r>
          </w:p>
        </w:tc>
        <w:tc>
          <w:tcPr>
            <w:tcW w:w="0" w:type="auto"/>
            <w:gridSpan w:val="2"/>
            <w:vMerge/>
            <w:tcBorders>
              <w:top w:val="nil"/>
              <w:left w:val="single" w:sz="3" w:space="0" w:color="000000"/>
              <w:bottom w:val="nil"/>
              <w:right w:val="nil"/>
            </w:tcBorders>
          </w:tcPr>
          <w:p w14:paraId="0A827DA9" w14:textId="77777777" w:rsidR="00541219" w:rsidRDefault="00541219">
            <w:pPr>
              <w:spacing w:after="160"/>
              <w:ind w:left="0" w:firstLine="0"/>
            </w:pPr>
          </w:p>
        </w:tc>
      </w:tr>
      <w:tr w:rsidR="00541219" w14:paraId="3239D6F1" w14:textId="77777777">
        <w:trPr>
          <w:trHeight w:val="365"/>
        </w:trPr>
        <w:tc>
          <w:tcPr>
            <w:tcW w:w="3727" w:type="dxa"/>
            <w:tcBorders>
              <w:top w:val="single" w:sz="3" w:space="0" w:color="000000"/>
              <w:left w:val="single" w:sz="3" w:space="0" w:color="000000"/>
              <w:bottom w:val="single" w:sz="3" w:space="0" w:color="000000"/>
              <w:right w:val="single" w:sz="3" w:space="0" w:color="000000"/>
            </w:tcBorders>
          </w:tcPr>
          <w:p w14:paraId="797F6E93" w14:textId="77777777" w:rsidR="00541219" w:rsidRDefault="00000000">
            <w:pPr>
              <w:spacing w:after="0"/>
              <w:ind w:left="0" w:right="111" w:firstLine="0"/>
              <w:jc w:val="both"/>
            </w:pPr>
            <w:r>
              <w:rPr>
                <w:sz w:val="7"/>
              </w:rPr>
              <w:t>Subcláusula Décima Nona – A DISTRIBUIDORA obriga-se a obter a energia elétrica requerida pelos seus consumidores ao menor custo dentre as alternativas disponíveis, sujeitando-se a limites de repasse dos custos da Energia Elétrica Comprada nos reposicionamentos tarifários, conforme regulação da ANEEL e legislação setorial.</w:t>
            </w:r>
          </w:p>
        </w:tc>
        <w:tc>
          <w:tcPr>
            <w:tcW w:w="0" w:type="auto"/>
            <w:gridSpan w:val="2"/>
            <w:vMerge/>
            <w:tcBorders>
              <w:top w:val="nil"/>
              <w:left w:val="single" w:sz="3" w:space="0" w:color="000000"/>
              <w:bottom w:val="nil"/>
              <w:right w:val="nil"/>
            </w:tcBorders>
          </w:tcPr>
          <w:p w14:paraId="28C1E9FA" w14:textId="77777777" w:rsidR="00541219" w:rsidRDefault="00541219">
            <w:pPr>
              <w:spacing w:after="160"/>
              <w:ind w:left="0" w:firstLine="0"/>
            </w:pPr>
          </w:p>
        </w:tc>
      </w:tr>
      <w:tr w:rsidR="00541219" w14:paraId="374D9CD8"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6FF79B16" w14:textId="77777777" w:rsidR="00541219" w:rsidRDefault="00000000">
            <w:pPr>
              <w:spacing w:after="0"/>
              <w:ind w:left="0" w:right="27" w:firstLine="0"/>
              <w:jc w:val="both"/>
            </w:pPr>
            <w:r>
              <w:rPr>
                <w:sz w:val="7"/>
              </w:rPr>
              <w:t>Subcláusula Vigésima – A Receita Requerida será decomposta em tarifas a serem cobradas dos usuários, mediante metodologia de estrutura tarifária aprovada pela ANEEL, que considerará eventuais descontos tarifários definidos na legislação setorial.</w:t>
            </w:r>
          </w:p>
        </w:tc>
        <w:tc>
          <w:tcPr>
            <w:tcW w:w="0" w:type="auto"/>
            <w:gridSpan w:val="2"/>
            <w:vMerge/>
            <w:tcBorders>
              <w:top w:val="nil"/>
              <w:left w:val="single" w:sz="3" w:space="0" w:color="000000"/>
              <w:bottom w:val="nil"/>
              <w:right w:val="nil"/>
            </w:tcBorders>
          </w:tcPr>
          <w:p w14:paraId="09059C66" w14:textId="77777777" w:rsidR="00541219" w:rsidRDefault="00541219">
            <w:pPr>
              <w:spacing w:after="160"/>
              <w:ind w:left="0" w:firstLine="0"/>
            </w:pPr>
          </w:p>
        </w:tc>
      </w:tr>
      <w:tr w:rsidR="00541219" w14:paraId="5BF2E6A0"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3786CF41" w14:textId="77777777" w:rsidR="00541219" w:rsidRDefault="00000000">
            <w:pPr>
              <w:spacing w:after="0"/>
              <w:ind w:left="0" w:firstLine="0"/>
            </w:pPr>
            <w:r>
              <w:rPr>
                <w:sz w:val="7"/>
              </w:rPr>
              <w:t>Subcláusula Vigésima Primeira– É vedado à DISTRIBUIDORA cobrar dos usuários, sob qualquer pretexto, valores de tarifas superiores àqueles homologados pela ANEEL.</w:t>
            </w:r>
          </w:p>
        </w:tc>
        <w:tc>
          <w:tcPr>
            <w:tcW w:w="0" w:type="auto"/>
            <w:gridSpan w:val="2"/>
            <w:vMerge/>
            <w:tcBorders>
              <w:top w:val="nil"/>
              <w:left w:val="single" w:sz="3" w:space="0" w:color="000000"/>
              <w:bottom w:val="nil"/>
              <w:right w:val="nil"/>
            </w:tcBorders>
          </w:tcPr>
          <w:p w14:paraId="49C9C0B6" w14:textId="77777777" w:rsidR="00541219" w:rsidRDefault="00541219">
            <w:pPr>
              <w:spacing w:after="160"/>
              <w:ind w:left="0" w:firstLine="0"/>
            </w:pPr>
          </w:p>
        </w:tc>
      </w:tr>
      <w:tr w:rsidR="00541219" w14:paraId="1959E56F" w14:textId="77777777">
        <w:trPr>
          <w:trHeight w:val="139"/>
        </w:trPr>
        <w:tc>
          <w:tcPr>
            <w:tcW w:w="3727" w:type="dxa"/>
            <w:tcBorders>
              <w:top w:val="single" w:sz="3" w:space="0" w:color="000000"/>
              <w:left w:val="single" w:sz="3" w:space="0" w:color="000000"/>
              <w:bottom w:val="single" w:sz="3" w:space="0" w:color="000000"/>
              <w:right w:val="single" w:sz="3" w:space="0" w:color="000000"/>
            </w:tcBorders>
          </w:tcPr>
          <w:p w14:paraId="1086602B" w14:textId="77777777" w:rsidR="00541219" w:rsidRDefault="00000000">
            <w:pPr>
              <w:spacing w:after="0"/>
              <w:ind w:left="0" w:firstLine="0"/>
            </w:pPr>
            <w:r>
              <w:rPr>
                <w:sz w:val="7"/>
              </w:rPr>
              <w:t>Subcláusula Vigésima Segunda – A estrutura tarifária poderá permitir diferenciação tarifária considerando:</w:t>
            </w:r>
          </w:p>
        </w:tc>
        <w:tc>
          <w:tcPr>
            <w:tcW w:w="0" w:type="auto"/>
            <w:gridSpan w:val="2"/>
            <w:vMerge/>
            <w:tcBorders>
              <w:top w:val="nil"/>
              <w:left w:val="single" w:sz="3" w:space="0" w:color="000000"/>
              <w:bottom w:val="nil"/>
              <w:right w:val="nil"/>
            </w:tcBorders>
          </w:tcPr>
          <w:p w14:paraId="0E241582" w14:textId="77777777" w:rsidR="00541219" w:rsidRDefault="00541219">
            <w:pPr>
              <w:spacing w:after="160"/>
              <w:ind w:left="0" w:firstLine="0"/>
            </w:pPr>
          </w:p>
        </w:tc>
      </w:tr>
      <w:tr w:rsidR="00541219" w14:paraId="5D01C4EB"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28C3988F" w14:textId="77777777" w:rsidR="00541219" w:rsidRDefault="00000000">
            <w:pPr>
              <w:spacing w:after="0"/>
              <w:ind w:left="497" w:firstLine="0"/>
            </w:pPr>
            <w:r>
              <w:rPr>
                <w:sz w:val="7"/>
              </w:rPr>
              <w:t xml:space="preserve">     I – </w:t>
            </w:r>
            <w:proofErr w:type="gramStart"/>
            <w:r>
              <w:rPr>
                <w:sz w:val="7"/>
              </w:rPr>
              <w:t>critérios</w:t>
            </w:r>
            <w:proofErr w:type="gramEnd"/>
            <w:r>
              <w:rPr>
                <w:sz w:val="7"/>
              </w:rPr>
              <w:t xml:space="preserve"> técnicos, locacionais, de qualidade e custos específicos de atendimento aos distintos segmentos de usuários; e</w:t>
            </w:r>
          </w:p>
        </w:tc>
        <w:tc>
          <w:tcPr>
            <w:tcW w:w="0" w:type="auto"/>
            <w:gridSpan w:val="2"/>
            <w:vMerge/>
            <w:tcBorders>
              <w:top w:val="nil"/>
              <w:left w:val="single" w:sz="3" w:space="0" w:color="000000"/>
              <w:bottom w:val="nil"/>
              <w:right w:val="nil"/>
            </w:tcBorders>
          </w:tcPr>
          <w:p w14:paraId="72C0797E" w14:textId="77777777" w:rsidR="00541219" w:rsidRDefault="00541219">
            <w:pPr>
              <w:spacing w:after="160"/>
              <w:ind w:left="0" w:firstLine="0"/>
            </w:pPr>
          </w:p>
        </w:tc>
      </w:tr>
      <w:tr w:rsidR="00541219" w14:paraId="40ED1166" w14:textId="77777777">
        <w:trPr>
          <w:trHeight w:val="91"/>
        </w:trPr>
        <w:tc>
          <w:tcPr>
            <w:tcW w:w="3727" w:type="dxa"/>
            <w:tcBorders>
              <w:top w:val="single" w:sz="3" w:space="0" w:color="000000"/>
              <w:left w:val="single" w:sz="3" w:space="0" w:color="000000"/>
              <w:bottom w:val="single" w:sz="3" w:space="0" w:color="000000"/>
              <w:right w:val="single" w:sz="3" w:space="0" w:color="000000"/>
            </w:tcBorders>
          </w:tcPr>
          <w:p w14:paraId="27EC45D0" w14:textId="77777777" w:rsidR="00541219" w:rsidRDefault="00000000">
            <w:pPr>
              <w:spacing w:after="0"/>
              <w:ind w:left="497" w:firstLine="0"/>
            </w:pPr>
            <w:r>
              <w:rPr>
                <w:sz w:val="7"/>
              </w:rPr>
              <w:t xml:space="preserve">     II – áreas de elevada complexidade ao combate às perdas não técnicas e elevada </w:t>
            </w:r>
          </w:p>
        </w:tc>
        <w:tc>
          <w:tcPr>
            <w:tcW w:w="0" w:type="auto"/>
            <w:gridSpan w:val="2"/>
            <w:vMerge/>
            <w:tcBorders>
              <w:top w:val="nil"/>
              <w:left w:val="single" w:sz="3" w:space="0" w:color="000000"/>
              <w:bottom w:val="nil"/>
              <w:right w:val="nil"/>
            </w:tcBorders>
          </w:tcPr>
          <w:p w14:paraId="2E3EF941" w14:textId="77777777" w:rsidR="00541219" w:rsidRDefault="00541219">
            <w:pPr>
              <w:spacing w:after="160"/>
              <w:ind w:left="0" w:firstLine="0"/>
            </w:pPr>
          </w:p>
        </w:tc>
      </w:tr>
      <w:tr w:rsidR="00541219" w14:paraId="5FD5ABC1" w14:textId="77777777">
        <w:trPr>
          <w:trHeight w:val="365"/>
        </w:trPr>
        <w:tc>
          <w:tcPr>
            <w:tcW w:w="3727" w:type="dxa"/>
            <w:tcBorders>
              <w:top w:val="single" w:sz="3" w:space="0" w:color="000000"/>
              <w:left w:val="single" w:sz="3" w:space="0" w:color="000000"/>
              <w:bottom w:val="single" w:sz="3" w:space="0" w:color="000000"/>
              <w:right w:val="single" w:sz="3" w:space="0" w:color="000000"/>
            </w:tcBorders>
          </w:tcPr>
          <w:p w14:paraId="61C14746" w14:textId="77777777" w:rsidR="00541219" w:rsidRDefault="00000000">
            <w:pPr>
              <w:spacing w:after="0" w:line="254" w:lineRule="auto"/>
              <w:ind w:left="0" w:firstLine="0"/>
              <w:jc w:val="both"/>
            </w:pPr>
            <w:r>
              <w:rPr>
                <w:sz w:val="7"/>
              </w:rPr>
              <w:t xml:space="preserve">Subcláusula Vigésima Terceira – É facultado à DISTRIBUIDORA conceder descontos sobre as tarifas homologadas pela ANEEL, desde que as reduções de receita não impliquem pleitos compensatórios posteriores </w:t>
            </w:r>
          </w:p>
          <w:p w14:paraId="4ED844BC" w14:textId="77777777" w:rsidR="00541219" w:rsidRDefault="00000000">
            <w:pPr>
              <w:spacing w:after="0"/>
              <w:ind w:left="0" w:firstLine="0"/>
            </w:pPr>
            <w:r>
              <w:rPr>
                <w:sz w:val="7"/>
              </w:rPr>
              <w:t>quanto à recuperação do equilíbrio econômico-financeiro e resguardadas as condições constantes na Subcláusula Quinta da Cláusula Segunda.</w:t>
            </w:r>
          </w:p>
        </w:tc>
        <w:tc>
          <w:tcPr>
            <w:tcW w:w="0" w:type="auto"/>
            <w:gridSpan w:val="2"/>
            <w:vMerge/>
            <w:tcBorders>
              <w:top w:val="nil"/>
              <w:left w:val="single" w:sz="3" w:space="0" w:color="000000"/>
              <w:bottom w:val="nil"/>
              <w:right w:val="nil"/>
            </w:tcBorders>
          </w:tcPr>
          <w:p w14:paraId="59D1C73F" w14:textId="77777777" w:rsidR="00541219" w:rsidRDefault="00541219">
            <w:pPr>
              <w:spacing w:after="160"/>
              <w:ind w:left="0" w:firstLine="0"/>
            </w:pPr>
          </w:p>
        </w:tc>
      </w:tr>
      <w:tr w:rsidR="00541219" w14:paraId="7C4493D8"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232AEC39" w14:textId="77777777" w:rsidR="00541219" w:rsidRDefault="00000000">
            <w:pPr>
              <w:spacing w:after="0"/>
              <w:ind w:left="0" w:right="91" w:firstLine="0"/>
              <w:jc w:val="both"/>
            </w:pPr>
            <w:r>
              <w:rPr>
                <w:sz w:val="7"/>
              </w:rPr>
              <w:t>Subcláusula Vigésima Quarta - A DISTRIBUIDORA concorda com o disposto no item a) do inciso XV do art. 4o do Decreto 12.068, de 20 de junho de 2024, podendo a ANEEL revisar e adaptar o regime de regulação econômica aplicável ao presente contrato, prospectivamente.</w:t>
            </w:r>
          </w:p>
        </w:tc>
        <w:tc>
          <w:tcPr>
            <w:tcW w:w="0" w:type="auto"/>
            <w:gridSpan w:val="2"/>
            <w:vMerge/>
            <w:tcBorders>
              <w:top w:val="nil"/>
              <w:left w:val="single" w:sz="3" w:space="0" w:color="000000"/>
              <w:bottom w:val="nil"/>
              <w:right w:val="nil"/>
            </w:tcBorders>
          </w:tcPr>
          <w:p w14:paraId="40B509C5" w14:textId="77777777" w:rsidR="00541219" w:rsidRDefault="00541219">
            <w:pPr>
              <w:spacing w:after="160"/>
              <w:ind w:left="0" w:firstLine="0"/>
            </w:pPr>
          </w:p>
        </w:tc>
      </w:tr>
      <w:tr w:rsidR="00541219" w14:paraId="6CCF54C3" w14:textId="77777777">
        <w:trPr>
          <w:trHeight w:val="91"/>
        </w:trPr>
        <w:tc>
          <w:tcPr>
            <w:tcW w:w="3727" w:type="dxa"/>
            <w:tcBorders>
              <w:top w:val="single" w:sz="3" w:space="0" w:color="000000"/>
              <w:left w:val="single" w:sz="3" w:space="0" w:color="000000"/>
              <w:bottom w:val="single" w:sz="3" w:space="0" w:color="000000"/>
              <w:right w:val="single" w:sz="3" w:space="0" w:color="000000"/>
            </w:tcBorders>
          </w:tcPr>
          <w:p w14:paraId="6DE8B808" w14:textId="77777777" w:rsidR="00541219" w:rsidRDefault="00000000">
            <w:pPr>
              <w:spacing w:after="0"/>
              <w:ind w:left="0" w:right="77" w:firstLine="0"/>
              <w:jc w:val="right"/>
            </w:pPr>
            <w:r>
              <w:rPr>
                <w:sz w:val="7"/>
              </w:rPr>
              <w:t xml:space="preserve">Parágrafo primeiro - A revisão do regime de regulação econômica considerará aspectos como: </w:t>
            </w:r>
          </w:p>
        </w:tc>
        <w:tc>
          <w:tcPr>
            <w:tcW w:w="0" w:type="auto"/>
            <w:gridSpan w:val="2"/>
            <w:vMerge/>
            <w:tcBorders>
              <w:top w:val="nil"/>
              <w:left w:val="single" w:sz="3" w:space="0" w:color="000000"/>
              <w:bottom w:val="nil"/>
              <w:right w:val="nil"/>
            </w:tcBorders>
          </w:tcPr>
          <w:p w14:paraId="13E900C5" w14:textId="77777777" w:rsidR="00541219" w:rsidRDefault="00541219">
            <w:pPr>
              <w:spacing w:after="160"/>
              <w:ind w:left="0" w:firstLine="0"/>
            </w:pPr>
          </w:p>
        </w:tc>
      </w:tr>
      <w:tr w:rsidR="00541219" w14:paraId="2726DBD7" w14:textId="77777777">
        <w:trPr>
          <w:trHeight w:val="91"/>
        </w:trPr>
        <w:tc>
          <w:tcPr>
            <w:tcW w:w="3727" w:type="dxa"/>
            <w:tcBorders>
              <w:top w:val="single" w:sz="3" w:space="0" w:color="000000"/>
              <w:left w:val="single" w:sz="3" w:space="0" w:color="000000"/>
              <w:bottom w:val="single" w:sz="3" w:space="0" w:color="000000"/>
              <w:right w:val="single" w:sz="3" w:space="0" w:color="000000"/>
            </w:tcBorders>
          </w:tcPr>
          <w:p w14:paraId="68F3BCD1" w14:textId="77777777" w:rsidR="00541219" w:rsidRDefault="00000000">
            <w:pPr>
              <w:spacing w:after="0"/>
              <w:ind w:left="497" w:firstLine="0"/>
            </w:pPr>
            <w:r>
              <w:rPr>
                <w:sz w:val="7"/>
              </w:rPr>
              <w:t xml:space="preserve">     (i) mudanças tecnológicas e inovações no setor de distribuição de energia elétrica; </w:t>
            </w:r>
          </w:p>
        </w:tc>
        <w:tc>
          <w:tcPr>
            <w:tcW w:w="0" w:type="auto"/>
            <w:gridSpan w:val="2"/>
            <w:vMerge/>
            <w:tcBorders>
              <w:top w:val="nil"/>
              <w:left w:val="single" w:sz="3" w:space="0" w:color="000000"/>
              <w:bottom w:val="nil"/>
              <w:right w:val="nil"/>
            </w:tcBorders>
          </w:tcPr>
          <w:p w14:paraId="699F810E" w14:textId="77777777" w:rsidR="00541219" w:rsidRDefault="00541219">
            <w:pPr>
              <w:spacing w:after="160"/>
              <w:ind w:left="0" w:firstLine="0"/>
            </w:pPr>
          </w:p>
        </w:tc>
      </w:tr>
      <w:tr w:rsidR="00541219" w14:paraId="751D4377" w14:textId="77777777">
        <w:trPr>
          <w:trHeight w:val="91"/>
        </w:trPr>
        <w:tc>
          <w:tcPr>
            <w:tcW w:w="3727" w:type="dxa"/>
            <w:tcBorders>
              <w:top w:val="single" w:sz="3" w:space="0" w:color="000000"/>
              <w:left w:val="single" w:sz="3" w:space="0" w:color="000000"/>
              <w:bottom w:val="single" w:sz="3" w:space="0" w:color="000000"/>
              <w:right w:val="single" w:sz="3" w:space="0" w:color="000000"/>
            </w:tcBorders>
          </w:tcPr>
          <w:p w14:paraId="18CC9436" w14:textId="77777777" w:rsidR="00541219" w:rsidRDefault="00000000">
            <w:pPr>
              <w:spacing w:after="0"/>
              <w:ind w:left="497" w:firstLine="0"/>
            </w:pPr>
            <w:r>
              <w:rPr>
                <w:sz w:val="7"/>
              </w:rPr>
              <w:t xml:space="preserve">     (</w:t>
            </w:r>
            <w:proofErr w:type="spellStart"/>
            <w:r>
              <w:rPr>
                <w:sz w:val="7"/>
              </w:rPr>
              <w:t>ii</w:t>
            </w:r>
            <w:proofErr w:type="spellEnd"/>
            <w:r>
              <w:rPr>
                <w:sz w:val="7"/>
              </w:rPr>
              <w:t xml:space="preserve">) alterações na dinâmica de mercado e estrutura competitiva; </w:t>
            </w:r>
          </w:p>
        </w:tc>
        <w:tc>
          <w:tcPr>
            <w:tcW w:w="0" w:type="auto"/>
            <w:gridSpan w:val="2"/>
            <w:vMerge/>
            <w:tcBorders>
              <w:top w:val="nil"/>
              <w:left w:val="single" w:sz="3" w:space="0" w:color="000000"/>
              <w:bottom w:val="nil"/>
              <w:right w:val="nil"/>
            </w:tcBorders>
          </w:tcPr>
          <w:p w14:paraId="7B5E8B91" w14:textId="77777777" w:rsidR="00541219" w:rsidRDefault="00541219">
            <w:pPr>
              <w:spacing w:after="160"/>
              <w:ind w:left="0" w:firstLine="0"/>
            </w:pPr>
          </w:p>
        </w:tc>
      </w:tr>
      <w:tr w:rsidR="00541219" w14:paraId="49DB88C9" w14:textId="77777777">
        <w:trPr>
          <w:trHeight w:val="91"/>
        </w:trPr>
        <w:tc>
          <w:tcPr>
            <w:tcW w:w="3727" w:type="dxa"/>
            <w:tcBorders>
              <w:top w:val="single" w:sz="3" w:space="0" w:color="000000"/>
              <w:left w:val="single" w:sz="3" w:space="0" w:color="000000"/>
              <w:bottom w:val="single" w:sz="3" w:space="0" w:color="000000"/>
              <w:right w:val="single" w:sz="3" w:space="0" w:color="000000"/>
            </w:tcBorders>
          </w:tcPr>
          <w:p w14:paraId="7EB22DEE" w14:textId="77777777" w:rsidR="00541219" w:rsidRDefault="00000000">
            <w:pPr>
              <w:spacing w:after="0"/>
              <w:ind w:left="497" w:firstLine="0"/>
            </w:pPr>
            <w:r>
              <w:rPr>
                <w:sz w:val="7"/>
              </w:rPr>
              <w:t xml:space="preserve">     (</w:t>
            </w:r>
            <w:proofErr w:type="spellStart"/>
            <w:r>
              <w:rPr>
                <w:sz w:val="7"/>
              </w:rPr>
              <w:t>iii</w:t>
            </w:r>
            <w:proofErr w:type="spellEnd"/>
            <w:r>
              <w:rPr>
                <w:sz w:val="7"/>
              </w:rPr>
              <w:t xml:space="preserve">) evoluções nas melhores práticas regulatórias; e </w:t>
            </w:r>
          </w:p>
        </w:tc>
        <w:tc>
          <w:tcPr>
            <w:tcW w:w="0" w:type="auto"/>
            <w:gridSpan w:val="2"/>
            <w:vMerge/>
            <w:tcBorders>
              <w:top w:val="nil"/>
              <w:left w:val="single" w:sz="3" w:space="0" w:color="000000"/>
              <w:bottom w:val="nil"/>
              <w:right w:val="nil"/>
            </w:tcBorders>
          </w:tcPr>
          <w:p w14:paraId="1498ED7D" w14:textId="77777777" w:rsidR="00541219" w:rsidRDefault="00541219">
            <w:pPr>
              <w:spacing w:after="160"/>
              <w:ind w:left="0" w:firstLine="0"/>
            </w:pPr>
          </w:p>
        </w:tc>
      </w:tr>
      <w:tr w:rsidR="00541219" w14:paraId="154CFD78" w14:textId="77777777">
        <w:trPr>
          <w:trHeight w:val="91"/>
        </w:trPr>
        <w:tc>
          <w:tcPr>
            <w:tcW w:w="3727" w:type="dxa"/>
            <w:tcBorders>
              <w:top w:val="single" w:sz="3" w:space="0" w:color="000000"/>
              <w:left w:val="single" w:sz="3" w:space="0" w:color="000000"/>
              <w:bottom w:val="single" w:sz="3" w:space="0" w:color="000000"/>
              <w:right w:val="single" w:sz="3" w:space="0" w:color="000000"/>
            </w:tcBorders>
          </w:tcPr>
          <w:p w14:paraId="061B5F97" w14:textId="77777777" w:rsidR="00541219" w:rsidRDefault="00000000">
            <w:pPr>
              <w:spacing w:after="0"/>
              <w:ind w:left="497" w:firstLine="0"/>
            </w:pPr>
            <w:r>
              <w:rPr>
                <w:sz w:val="7"/>
              </w:rPr>
              <w:t xml:space="preserve">     (</w:t>
            </w:r>
            <w:proofErr w:type="spellStart"/>
            <w:r>
              <w:rPr>
                <w:sz w:val="7"/>
              </w:rPr>
              <w:t>iv</w:t>
            </w:r>
            <w:proofErr w:type="spellEnd"/>
            <w:r>
              <w:rPr>
                <w:sz w:val="7"/>
              </w:rPr>
              <w:t>) necessidades de adequação aos objetivos de sustentabilidade e eficiência energética.</w:t>
            </w:r>
          </w:p>
        </w:tc>
        <w:tc>
          <w:tcPr>
            <w:tcW w:w="0" w:type="auto"/>
            <w:gridSpan w:val="2"/>
            <w:vMerge/>
            <w:tcBorders>
              <w:top w:val="nil"/>
              <w:left w:val="single" w:sz="3" w:space="0" w:color="000000"/>
              <w:bottom w:val="nil"/>
              <w:right w:val="nil"/>
            </w:tcBorders>
          </w:tcPr>
          <w:p w14:paraId="632ECBCA" w14:textId="77777777" w:rsidR="00541219" w:rsidRDefault="00541219">
            <w:pPr>
              <w:spacing w:after="160"/>
              <w:ind w:left="0" w:firstLine="0"/>
            </w:pPr>
          </w:p>
        </w:tc>
      </w:tr>
      <w:tr w:rsidR="00541219" w14:paraId="0293BF45" w14:textId="77777777">
        <w:trPr>
          <w:trHeight w:val="239"/>
        </w:trPr>
        <w:tc>
          <w:tcPr>
            <w:tcW w:w="3727" w:type="dxa"/>
            <w:tcBorders>
              <w:top w:val="single" w:sz="3" w:space="0" w:color="000000"/>
              <w:left w:val="single" w:sz="3" w:space="0" w:color="000000"/>
              <w:bottom w:val="double" w:sz="3" w:space="0" w:color="000000"/>
              <w:right w:val="single" w:sz="3" w:space="0" w:color="000000"/>
            </w:tcBorders>
          </w:tcPr>
          <w:p w14:paraId="45A4AC73" w14:textId="77777777" w:rsidR="00541219" w:rsidRDefault="00000000">
            <w:pPr>
              <w:spacing w:after="0"/>
              <w:ind w:left="497" w:firstLine="0"/>
              <w:jc w:val="both"/>
            </w:pPr>
            <w:r>
              <w:rPr>
                <w:sz w:val="7"/>
              </w:rPr>
              <w:t>Parágrafo segundo - Qualquer alteração no regime de regulação econômica será precedida do devido rito regulatório, conforme os procedimentos estabelecidos pela ANEEL.</w:t>
            </w:r>
          </w:p>
        </w:tc>
        <w:tc>
          <w:tcPr>
            <w:tcW w:w="0" w:type="auto"/>
            <w:gridSpan w:val="2"/>
            <w:vMerge/>
            <w:tcBorders>
              <w:top w:val="nil"/>
              <w:left w:val="single" w:sz="3" w:space="0" w:color="000000"/>
              <w:bottom w:val="nil"/>
              <w:right w:val="nil"/>
            </w:tcBorders>
          </w:tcPr>
          <w:p w14:paraId="59789908" w14:textId="77777777" w:rsidR="00541219" w:rsidRDefault="00541219">
            <w:pPr>
              <w:spacing w:after="160"/>
              <w:ind w:left="0" w:firstLine="0"/>
            </w:pPr>
          </w:p>
        </w:tc>
      </w:tr>
      <w:tr w:rsidR="00541219" w14:paraId="574D2463" w14:textId="77777777">
        <w:trPr>
          <w:trHeight w:val="421"/>
        </w:trPr>
        <w:tc>
          <w:tcPr>
            <w:tcW w:w="3727" w:type="dxa"/>
            <w:tcBorders>
              <w:top w:val="double" w:sz="3" w:space="0" w:color="000000"/>
              <w:left w:val="single" w:sz="3" w:space="0" w:color="000000"/>
              <w:bottom w:val="single" w:sz="3" w:space="0" w:color="000000"/>
              <w:right w:val="single" w:sz="3" w:space="0" w:color="000000"/>
            </w:tcBorders>
          </w:tcPr>
          <w:p w14:paraId="791D7B1A" w14:textId="77777777" w:rsidR="00541219" w:rsidRDefault="00000000">
            <w:pPr>
              <w:spacing w:after="0"/>
              <w:ind w:left="2" w:firstLine="0"/>
            </w:pPr>
            <w:r>
              <w:t>CLÁUSULA SÉTIMA – SUSTENTABILIDADE ECONÔMICA E FINANCEIRA</w:t>
            </w:r>
          </w:p>
          <w:p w14:paraId="7B0887C2" w14:textId="77777777" w:rsidR="00541219" w:rsidRDefault="00000000">
            <w:pPr>
              <w:spacing w:after="0"/>
              <w:ind w:left="0" w:right="6" w:firstLine="0"/>
            </w:pPr>
            <w:r>
              <w:rPr>
                <w:sz w:val="7"/>
              </w:rPr>
              <w:t>A DISTRIBUIDORA se compromete a preservar, durante toda a concessão, condição de sustentabilidade econômica e financeira na gestão dos seus custos e despesas, da solvência de endividamento, dos investimentos em reposição, melhoria e expansão, além da responsabilidade no pagamento de tributos e de proventos aos acionistas.</w:t>
            </w:r>
          </w:p>
        </w:tc>
        <w:tc>
          <w:tcPr>
            <w:tcW w:w="0" w:type="auto"/>
            <w:gridSpan w:val="2"/>
            <w:vMerge/>
            <w:tcBorders>
              <w:top w:val="nil"/>
              <w:left w:val="single" w:sz="3" w:space="0" w:color="000000"/>
              <w:bottom w:val="nil"/>
              <w:right w:val="nil"/>
            </w:tcBorders>
          </w:tcPr>
          <w:p w14:paraId="114D233A" w14:textId="77777777" w:rsidR="00541219" w:rsidRDefault="00541219">
            <w:pPr>
              <w:spacing w:after="160"/>
              <w:ind w:left="0" w:firstLine="0"/>
            </w:pPr>
          </w:p>
        </w:tc>
      </w:tr>
      <w:tr w:rsidR="00541219" w14:paraId="11C51D44"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4579CC45" w14:textId="77777777" w:rsidR="00541219" w:rsidRDefault="00000000">
            <w:pPr>
              <w:spacing w:after="0"/>
              <w:ind w:left="0" w:firstLine="0"/>
            </w:pPr>
            <w:r>
              <w:rPr>
                <w:sz w:val="7"/>
              </w:rPr>
              <w:t>Subcláusula Primeira – O descumprimento por parte da DISTRIBUIDORA dos Critérios de Eficiência com relação à Gestão Econômico-Financeira, conforme regulação, implicará, sem prejuízo de outras ações fiscalizatórias:</w:t>
            </w:r>
          </w:p>
        </w:tc>
        <w:tc>
          <w:tcPr>
            <w:tcW w:w="0" w:type="auto"/>
            <w:gridSpan w:val="2"/>
            <w:vMerge/>
            <w:tcBorders>
              <w:top w:val="nil"/>
              <w:left w:val="single" w:sz="3" w:space="0" w:color="000000"/>
              <w:bottom w:val="nil"/>
              <w:right w:val="nil"/>
            </w:tcBorders>
          </w:tcPr>
          <w:p w14:paraId="6C9E58E4" w14:textId="77777777" w:rsidR="00541219" w:rsidRDefault="00541219">
            <w:pPr>
              <w:spacing w:after="160"/>
              <w:ind w:left="0" w:firstLine="0"/>
            </w:pPr>
          </w:p>
        </w:tc>
      </w:tr>
      <w:tr w:rsidR="00541219" w14:paraId="2095F94D" w14:textId="77777777">
        <w:trPr>
          <w:trHeight w:val="641"/>
        </w:trPr>
        <w:tc>
          <w:tcPr>
            <w:tcW w:w="3727" w:type="dxa"/>
            <w:tcBorders>
              <w:top w:val="single" w:sz="3" w:space="0" w:color="000000"/>
              <w:left w:val="single" w:sz="3" w:space="0" w:color="000000"/>
              <w:bottom w:val="single" w:sz="3" w:space="0" w:color="000000"/>
              <w:right w:val="single" w:sz="3" w:space="0" w:color="000000"/>
            </w:tcBorders>
          </w:tcPr>
          <w:p w14:paraId="520065AF" w14:textId="77777777" w:rsidR="00541219" w:rsidRDefault="00000000">
            <w:pPr>
              <w:spacing w:after="0" w:line="254" w:lineRule="auto"/>
              <w:ind w:left="497" w:firstLine="0"/>
            </w:pPr>
            <w:r>
              <w:rPr>
                <w:sz w:val="7"/>
              </w:rPr>
              <w:t xml:space="preserve">     I – </w:t>
            </w:r>
            <w:proofErr w:type="gramStart"/>
            <w:r>
              <w:rPr>
                <w:sz w:val="7"/>
              </w:rPr>
              <w:t>a</w:t>
            </w:r>
            <w:proofErr w:type="gramEnd"/>
            <w:r>
              <w:rPr>
                <w:sz w:val="7"/>
              </w:rPr>
              <w:t xml:space="preserve"> limitação de pagamento de dividendos e de juros sobre o capital próprio cujo valor, isoladamente ou em conjunto, supere 25% do lucro líquido diminuído ou acrescido pelos montantes destinados à reserva legal (art. 193 da Lei no 6.404, de 1976) e à reserva para contingências (art. 195 da Lei no 6.404, de 1976) e reversão da mesma reserva formada em exercícios anteriores, até que os Critérios de Eficiência com relação à Gestão Econômico-</w:t>
            </w:r>
          </w:p>
          <w:p w14:paraId="7449DC50" w14:textId="77777777" w:rsidR="00541219" w:rsidRDefault="00000000">
            <w:pPr>
              <w:spacing w:after="0"/>
              <w:ind w:left="497" w:firstLine="0"/>
            </w:pPr>
            <w:r>
              <w:rPr>
                <w:sz w:val="7"/>
              </w:rPr>
              <w:t>Financeira sejam restaurados e observáveis a partir das demonstrações contábeis regulatórias do ano civil subsequentes entregues à ANEEL; e</w:t>
            </w:r>
          </w:p>
        </w:tc>
        <w:tc>
          <w:tcPr>
            <w:tcW w:w="0" w:type="auto"/>
            <w:gridSpan w:val="2"/>
            <w:vMerge/>
            <w:tcBorders>
              <w:top w:val="nil"/>
              <w:left w:val="single" w:sz="3" w:space="0" w:color="000000"/>
              <w:bottom w:val="nil"/>
              <w:right w:val="nil"/>
            </w:tcBorders>
          </w:tcPr>
          <w:p w14:paraId="5095DEED" w14:textId="77777777" w:rsidR="00541219" w:rsidRDefault="00541219">
            <w:pPr>
              <w:spacing w:after="160"/>
              <w:ind w:left="0" w:firstLine="0"/>
            </w:pPr>
          </w:p>
        </w:tc>
      </w:tr>
      <w:tr w:rsidR="00541219" w14:paraId="56AA527E"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3489B23A" w14:textId="77777777" w:rsidR="00541219" w:rsidRDefault="00000000">
            <w:pPr>
              <w:spacing w:after="0"/>
              <w:ind w:left="497" w:firstLine="0"/>
            </w:pPr>
            <w:r>
              <w:rPr>
                <w:sz w:val="7"/>
              </w:rPr>
              <w:t xml:space="preserve">     II – </w:t>
            </w:r>
            <w:proofErr w:type="gramStart"/>
            <w:r>
              <w:rPr>
                <w:sz w:val="7"/>
              </w:rPr>
              <w:t>a</w:t>
            </w:r>
            <w:proofErr w:type="gramEnd"/>
            <w:r>
              <w:rPr>
                <w:sz w:val="7"/>
              </w:rPr>
              <w:t xml:space="preserve"> limitação de novos atos e negócios jurídicos entre a concessionária e suas partes relacionadas.</w:t>
            </w:r>
          </w:p>
        </w:tc>
        <w:tc>
          <w:tcPr>
            <w:tcW w:w="0" w:type="auto"/>
            <w:gridSpan w:val="2"/>
            <w:vMerge/>
            <w:tcBorders>
              <w:top w:val="nil"/>
              <w:left w:val="single" w:sz="3" w:space="0" w:color="000000"/>
              <w:bottom w:val="nil"/>
              <w:right w:val="nil"/>
            </w:tcBorders>
          </w:tcPr>
          <w:p w14:paraId="218717D7" w14:textId="77777777" w:rsidR="00541219" w:rsidRDefault="00541219">
            <w:pPr>
              <w:spacing w:after="160"/>
              <w:ind w:left="0" w:firstLine="0"/>
            </w:pPr>
          </w:p>
        </w:tc>
      </w:tr>
      <w:tr w:rsidR="00541219" w14:paraId="43D9D4C0"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5F2B9F3D" w14:textId="77777777" w:rsidR="00541219" w:rsidRDefault="00000000">
            <w:pPr>
              <w:spacing w:after="0"/>
              <w:ind w:left="0" w:firstLine="0"/>
            </w:pPr>
            <w:r>
              <w:rPr>
                <w:sz w:val="7"/>
              </w:rPr>
              <w:t>Subcláusula Segunda – A DISTRIBUIDORA deverá manter inscrito em seus atos constitutivos, durante toda a concessão, o dispositivo previsto pelo inciso I da Subcláusula Primeira e pela Subcláusula Oitava da Cláusula Segunda.</w:t>
            </w:r>
          </w:p>
        </w:tc>
        <w:tc>
          <w:tcPr>
            <w:tcW w:w="0" w:type="auto"/>
            <w:gridSpan w:val="2"/>
            <w:vMerge/>
            <w:tcBorders>
              <w:top w:val="nil"/>
              <w:left w:val="single" w:sz="3" w:space="0" w:color="000000"/>
              <w:bottom w:val="nil"/>
              <w:right w:val="nil"/>
            </w:tcBorders>
          </w:tcPr>
          <w:p w14:paraId="2788BD7B" w14:textId="77777777" w:rsidR="00541219" w:rsidRDefault="00541219">
            <w:pPr>
              <w:spacing w:after="160"/>
              <w:ind w:left="0" w:firstLine="0"/>
            </w:pPr>
          </w:p>
        </w:tc>
      </w:tr>
      <w:tr w:rsidR="00541219" w14:paraId="5519555B"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16C3A504" w14:textId="77777777" w:rsidR="00541219" w:rsidRDefault="00000000">
            <w:pPr>
              <w:spacing w:after="0"/>
              <w:ind w:left="497" w:firstLine="0"/>
              <w:jc w:val="both"/>
            </w:pPr>
            <w:r>
              <w:rPr>
                <w:sz w:val="7"/>
              </w:rPr>
              <w:t>Parágrafo Único – O ato constitutivo alterado deverá ser enviado à ANEEL em até 180 dias da data de assinatura deste Termo Aditivo.</w:t>
            </w:r>
          </w:p>
        </w:tc>
        <w:tc>
          <w:tcPr>
            <w:tcW w:w="0" w:type="auto"/>
            <w:gridSpan w:val="2"/>
            <w:vMerge/>
            <w:tcBorders>
              <w:top w:val="nil"/>
              <w:left w:val="single" w:sz="3" w:space="0" w:color="000000"/>
              <w:bottom w:val="nil"/>
              <w:right w:val="nil"/>
            </w:tcBorders>
          </w:tcPr>
          <w:p w14:paraId="6A9E4711" w14:textId="77777777" w:rsidR="00541219" w:rsidRDefault="00541219">
            <w:pPr>
              <w:spacing w:after="160"/>
              <w:ind w:left="0" w:firstLine="0"/>
            </w:pPr>
          </w:p>
        </w:tc>
      </w:tr>
      <w:tr w:rsidR="00541219" w14:paraId="03D64306" w14:textId="77777777">
        <w:trPr>
          <w:trHeight w:val="606"/>
        </w:trPr>
        <w:tc>
          <w:tcPr>
            <w:tcW w:w="3727" w:type="dxa"/>
            <w:tcBorders>
              <w:top w:val="single" w:sz="3" w:space="0" w:color="000000"/>
              <w:left w:val="single" w:sz="3" w:space="0" w:color="000000"/>
              <w:bottom w:val="double" w:sz="3" w:space="0" w:color="000000"/>
              <w:right w:val="single" w:sz="3" w:space="0" w:color="000000"/>
            </w:tcBorders>
          </w:tcPr>
          <w:p w14:paraId="47EC5967" w14:textId="77777777" w:rsidR="00541219" w:rsidRDefault="00000000">
            <w:pPr>
              <w:spacing w:after="0"/>
              <w:ind w:left="0" w:right="4" w:firstLine="0"/>
            </w:pPr>
            <w:r>
              <w:rPr>
                <w:sz w:val="7"/>
              </w:rPr>
              <w:t>Subcláusula Terceira – A DISTRIBUIDORA se compromete a atender a todas as obrigações de natureza fiscal, trabalhista e previdenciária, os encargos oriundos de normas regulamentares estabelecidas pelo PODER CONCEDENTE e pela ANEEL, bem assim a quaisquer outras obrigações relacionadas ou decorrentes da exploração do serviço público de distribuição de energia elétrica, especialmente quanto ao pagamento dos valores relativos à fiscalização do serviço público de distribuição, conforme normas setoriais.</w:t>
            </w:r>
          </w:p>
        </w:tc>
        <w:tc>
          <w:tcPr>
            <w:tcW w:w="0" w:type="auto"/>
            <w:gridSpan w:val="2"/>
            <w:vMerge/>
            <w:tcBorders>
              <w:top w:val="nil"/>
              <w:left w:val="single" w:sz="3" w:space="0" w:color="000000"/>
              <w:bottom w:val="nil"/>
              <w:right w:val="nil"/>
            </w:tcBorders>
          </w:tcPr>
          <w:p w14:paraId="512E99FC" w14:textId="77777777" w:rsidR="00541219" w:rsidRDefault="00541219">
            <w:pPr>
              <w:spacing w:after="160"/>
              <w:ind w:left="0" w:firstLine="0"/>
            </w:pPr>
          </w:p>
        </w:tc>
      </w:tr>
      <w:tr w:rsidR="00541219" w14:paraId="75D40A70" w14:textId="77777777">
        <w:trPr>
          <w:trHeight w:val="330"/>
        </w:trPr>
        <w:tc>
          <w:tcPr>
            <w:tcW w:w="3727" w:type="dxa"/>
            <w:tcBorders>
              <w:top w:val="double" w:sz="3" w:space="0" w:color="000000"/>
              <w:left w:val="single" w:sz="3" w:space="0" w:color="000000"/>
              <w:bottom w:val="single" w:sz="3" w:space="0" w:color="000000"/>
              <w:right w:val="single" w:sz="3" w:space="0" w:color="000000"/>
            </w:tcBorders>
          </w:tcPr>
          <w:p w14:paraId="4DD5F4ED" w14:textId="77777777" w:rsidR="00541219" w:rsidRDefault="00000000">
            <w:pPr>
              <w:spacing w:after="0"/>
              <w:ind w:left="2" w:firstLine="0"/>
            </w:pPr>
            <w:r>
              <w:t>CLÁUSULA OITAVA – GOVERNANÇA CORPORATIVA E TRANSPARÊNCIA</w:t>
            </w:r>
          </w:p>
          <w:p w14:paraId="24220755" w14:textId="77777777" w:rsidR="00541219" w:rsidRDefault="00000000">
            <w:pPr>
              <w:spacing w:after="0"/>
              <w:ind w:left="0" w:firstLine="0"/>
            </w:pPr>
            <w:r>
              <w:rPr>
                <w:sz w:val="7"/>
              </w:rPr>
              <w:t>A DISTRIBUIDORA se compromete a empregar seus melhores esforços para manter seus níveis de governança e transparência alinhados às melhores práticas e harmônicos à sua condição de prestadora de serviço público essencial.</w:t>
            </w:r>
          </w:p>
        </w:tc>
        <w:tc>
          <w:tcPr>
            <w:tcW w:w="0" w:type="auto"/>
            <w:gridSpan w:val="2"/>
            <w:vMerge/>
            <w:tcBorders>
              <w:top w:val="nil"/>
              <w:left w:val="single" w:sz="3" w:space="0" w:color="000000"/>
              <w:bottom w:val="nil"/>
              <w:right w:val="nil"/>
            </w:tcBorders>
          </w:tcPr>
          <w:p w14:paraId="48801C8C" w14:textId="77777777" w:rsidR="00541219" w:rsidRDefault="00541219">
            <w:pPr>
              <w:spacing w:after="160"/>
              <w:ind w:left="0" w:firstLine="0"/>
            </w:pPr>
          </w:p>
        </w:tc>
      </w:tr>
      <w:tr w:rsidR="00541219" w14:paraId="6826D174" w14:textId="77777777">
        <w:trPr>
          <w:trHeight w:val="365"/>
        </w:trPr>
        <w:tc>
          <w:tcPr>
            <w:tcW w:w="3727" w:type="dxa"/>
            <w:tcBorders>
              <w:top w:val="single" w:sz="3" w:space="0" w:color="000000"/>
              <w:left w:val="single" w:sz="3" w:space="0" w:color="000000"/>
              <w:bottom w:val="single" w:sz="3" w:space="0" w:color="000000"/>
              <w:right w:val="single" w:sz="3" w:space="0" w:color="000000"/>
            </w:tcBorders>
          </w:tcPr>
          <w:p w14:paraId="62A153E3" w14:textId="77777777" w:rsidR="00541219" w:rsidRDefault="00000000">
            <w:pPr>
              <w:spacing w:after="0"/>
              <w:ind w:left="0" w:right="13" w:firstLine="0"/>
            </w:pPr>
            <w:r>
              <w:rPr>
                <w:sz w:val="7"/>
              </w:rPr>
              <w:t>Subcláusula Primeira – A DISTRIBUIDORA obriga-se a observar a regulação da ANEEL sobre governança e transparência que poderá compreender, entre outros, parâmetros mínimos e deveres regulatórios relacionados ao Conselho de Administração, à Diretoria, ao Conselho Fiscal, à Auditoria e à Conformidade.</w:t>
            </w:r>
          </w:p>
        </w:tc>
        <w:tc>
          <w:tcPr>
            <w:tcW w:w="0" w:type="auto"/>
            <w:gridSpan w:val="2"/>
            <w:vMerge/>
            <w:tcBorders>
              <w:top w:val="nil"/>
              <w:left w:val="single" w:sz="3" w:space="0" w:color="000000"/>
              <w:bottom w:val="nil"/>
              <w:right w:val="nil"/>
            </w:tcBorders>
          </w:tcPr>
          <w:p w14:paraId="621C0634" w14:textId="77777777" w:rsidR="00541219" w:rsidRDefault="00541219">
            <w:pPr>
              <w:spacing w:after="160"/>
              <w:ind w:left="0" w:firstLine="0"/>
            </w:pPr>
          </w:p>
        </w:tc>
      </w:tr>
      <w:tr w:rsidR="00541219" w14:paraId="6FA11DCE" w14:textId="77777777">
        <w:trPr>
          <w:trHeight w:val="550"/>
        </w:trPr>
        <w:tc>
          <w:tcPr>
            <w:tcW w:w="3727" w:type="dxa"/>
            <w:tcBorders>
              <w:top w:val="single" w:sz="3" w:space="0" w:color="000000"/>
              <w:left w:val="single" w:sz="3" w:space="0" w:color="000000"/>
              <w:bottom w:val="single" w:sz="3" w:space="0" w:color="000000"/>
              <w:right w:val="single" w:sz="3" w:space="0" w:color="000000"/>
            </w:tcBorders>
          </w:tcPr>
          <w:p w14:paraId="343E43CE" w14:textId="77777777" w:rsidR="00541219" w:rsidRDefault="00000000">
            <w:pPr>
              <w:spacing w:after="0"/>
              <w:ind w:left="0" w:firstLine="0"/>
            </w:pPr>
            <w:r>
              <w:rPr>
                <w:sz w:val="7"/>
              </w:rPr>
              <w:t>Subcláusula Segunda – A DISTRIBUIDORA deve manter na ANEEL, desde a assinatura do CONTRATO, declaração de todos seus Administradores e Conselheiros Fiscais afirmando que compreendem seu papel e responsabilidades decorrentes da gestão de um serviço público essencial, aceitando responsabilidade pela qualidade e tempestividade das informações fornecidas no âmbito da sua competência e pela prestação de contas ao Poder Público, atualizando as declarações dentro de 30 (trinta) dias a contar da assinatura do Termo de Posse.</w:t>
            </w:r>
          </w:p>
        </w:tc>
        <w:tc>
          <w:tcPr>
            <w:tcW w:w="0" w:type="auto"/>
            <w:gridSpan w:val="2"/>
            <w:vMerge/>
            <w:tcBorders>
              <w:top w:val="nil"/>
              <w:left w:val="single" w:sz="3" w:space="0" w:color="000000"/>
              <w:bottom w:val="nil"/>
              <w:right w:val="nil"/>
            </w:tcBorders>
          </w:tcPr>
          <w:p w14:paraId="53BC088E" w14:textId="77777777" w:rsidR="00541219" w:rsidRDefault="00541219">
            <w:pPr>
              <w:spacing w:after="160"/>
              <w:ind w:left="0" w:firstLine="0"/>
            </w:pPr>
          </w:p>
        </w:tc>
      </w:tr>
      <w:tr w:rsidR="00541219" w14:paraId="35A189A0"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13014919" w14:textId="77777777" w:rsidR="00541219" w:rsidRDefault="00000000">
            <w:pPr>
              <w:spacing w:after="0"/>
              <w:ind w:left="0" w:firstLine="0"/>
            </w:pPr>
            <w:r>
              <w:rPr>
                <w:sz w:val="7"/>
              </w:rPr>
              <w:t>Subcláusula Terceira – A DISTRIBUIDORA deverá submeter à anuência prévia da ANEEL operações, atos ou negócios jurídicos nas hipóteses, condições e procedimentos estabelecidos em regulação.</w:t>
            </w:r>
          </w:p>
        </w:tc>
        <w:tc>
          <w:tcPr>
            <w:tcW w:w="0" w:type="auto"/>
            <w:gridSpan w:val="2"/>
            <w:vMerge/>
            <w:tcBorders>
              <w:top w:val="nil"/>
              <w:left w:val="single" w:sz="3" w:space="0" w:color="000000"/>
              <w:bottom w:val="nil"/>
              <w:right w:val="nil"/>
            </w:tcBorders>
          </w:tcPr>
          <w:p w14:paraId="335DEEDE" w14:textId="77777777" w:rsidR="00541219" w:rsidRDefault="00541219">
            <w:pPr>
              <w:spacing w:after="160"/>
              <w:ind w:left="0" w:firstLine="0"/>
            </w:pPr>
          </w:p>
        </w:tc>
      </w:tr>
      <w:tr w:rsidR="00541219" w14:paraId="7F245CA3" w14:textId="77777777">
        <w:trPr>
          <w:trHeight w:val="91"/>
        </w:trPr>
        <w:tc>
          <w:tcPr>
            <w:tcW w:w="3727" w:type="dxa"/>
            <w:tcBorders>
              <w:top w:val="single" w:sz="3" w:space="0" w:color="000000"/>
              <w:left w:val="single" w:sz="3" w:space="0" w:color="000000"/>
              <w:bottom w:val="single" w:sz="3" w:space="0" w:color="000000"/>
              <w:right w:val="single" w:sz="3" w:space="0" w:color="000000"/>
            </w:tcBorders>
          </w:tcPr>
          <w:p w14:paraId="112983D6" w14:textId="77777777" w:rsidR="00541219" w:rsidRDefault="00000000">
            <w:pPr>
              <w:spacing w:after="0"/>
              <w:ind w:left="0" w:firstLine="0"/>
            </w:pPr>
            <w:r>
              <w:rPr>
                <w:sz w:val="7"/>
              </w:rPr>
              <w:t>Subcláusula Quarta – A DISTRIBUIDORA obriga-se a:</w:t>
            </w:r>
          </w:p>
        </w:tc>
        <w:tc>
          <w:tcPr>
            <w:tcW w:w="0" w:type="auto"/>
            <w:gridSpan w:val="2"/>
            <w:vMerge/>
            <w:tcBorders>
              <w:top w:val="nil"/>
              <w:left w:val="single" w:sz="3" w:space="0" w:color="000000"/>
              <w:bottom w:val="nil"/>
              <w:right w:val="nil"/>
            </w:tcBorders>
          </w:tcPr>
          <w:p w14:paraId="00B371E0" w14:textId="77777777" w:rsidR="00541219" w:rsidRDefault="00541219">
            <w:pPr>
              <w:spacing w:after="160"/>
              <w:ind w:left="0" w:firstLine="0"/>
            </w:pPr>
          </w:p>
        </w:tc>
      </w:tr>
      <w:tr w:rsidR="00541219" w14:paraId="3D2AEE24" w14:textId="77777777">
        <w:trPr>
          <w:trHeight w:val="91"/>
        </w:trPr>
        <w:tc>
          <w:tcPr>
            <w:tcW w:w="3727" w:type="dxa"/>
            <w:tcBorders>
              <w:top w:val="single" w:sz="3" w:space="0" w:color="000000"/>
              <w:left w:val="single" w:sz="3" w:space="0" w:color="000000"/>
              <w:bottom w:val="single" w:sz="3" w:space="0" w:color="000000"/>
              <w:right w:val="single" w:sz="3" w:space="0" w:color="000000"/>
            </w:tcBorders>
          </w:tcPr>
          <w:p w14:paraId="3102D73F" w14:textId="77777777" w:rsidR="00541219" w:rsidRDefault="00000000">
            <w:pPr>
              <w:spacing w:after="0"/>
              <w:ind w:left="497" w:firstLine="0"/>
            </w:pPr>
            <w:r>
              <w:rPr>
                <w:sz w:val="7"/>
              </w:rPr>
              <w:t xml:space="preserve">     I – </w:t>
            </w:r>
            <w:proofErr w:type="gramStart"/>
            <w:r>
              <w:rPr>
                <w:sz w:val="7"/>
              </w:rPr>
              <w:t>publicar</w:t>
            </w:r>
            <w:proofErr w:type="gramEnd"/>
            <w:r>
              <w:rPr>
                <w:sz w:val="7"/>
              </w:rPr>
              <w:t xml:space="preserve"> suas Demonstrações Financeiras nos prazos e termos das normas vigentes;</w:t>
            </w:r>
          </w:p>
        </w:tc>
        <w:tc>
          <w:tcPr>
            <w:tcW w:w="0" w:type="auto"/>
            <w:gridSpan w:val="2"/>
            <w:vMerge/>
            <w:tcBorders>
              <w:top w:val="nil"/>
              <w:left w:val="single" w:sz="3" w:space="0" w:color="000000"/>
              <w:bottom w:val="nil"/>
              <w:right w:val="nil"/>
            </w:tcBorders>
          </w:tcPr>
          <w:p w14:paraId="55085ED5" w14:textId="77777777" w:rsidR="00541219" w:rsidRDefault="00541219">
            <w:pPr>
              <w:spacing w:after="160"/>
              <w:ind w:left="0" w:firstLine="0"/>
            </w:pPr>
          </w:p>
        </w:tc>
      </w:tr>
      <w:tr w:rsidR="00541219" w14:paraId="0F8FCB9B"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32FEAFF9" w14:textId="77777777" w:rsidR="00541219" w:rsidRDefault="00000000">
            <w:pPr>
              <w:spacing w:after="0"/>
              <w:ind w:left="497" w:firstLine="0"/>
            </w:pPr>
            <w:r>
              <w:rPr>
                <w:sz w:val="7"/>
              </w:rPr>
              <w:t xml:space="preserve">     II – </w:t>
            </w:r>
            <w:proofErr w:type="gramStart"/>
            <w:r>
              <w:rPr>
                <w:sz w:val="7"/>
              </w:rPr>
              <w:t>manter</w:t>
            </w:r>
            <w:proofErr w:type="gramEnd"/>
            <w:r>
              <w:rPr>
                <w:sz w:val="7"/>
              </w:rPr>
              <w:t xml:space="preserve"> em arquivo separado toda a documentação comprobatória da movimentação financeira relativa à operação de oferecimento de direitos emergentes em garantia por prazo de 5 anos, para efeito de fiscalização;</w:t>
            </w:r>
          </w:p>
        </w:tc>
        <w:tc>
          <w:tcPr>
            <w:tcW w:w="0" w:type="auto"/>
            <w:gridSpan w:val="2"/>
            <w:vMerge/>
            <w:tcBorders>
              <w:top w:val="nil"/>
              <w:left w:val="single" w:sz="3" w:space="0" w:color="000000"/>
              <w:bottom w:val="nil"/>
              <w:right w:val="nil"/>
            </w:tcBorders>
          </w:tcPr>
          <w:p w14:paraId="6FB1B593" w14:textId="77777777" w:rsidR="00541219" w:rsidRDefault="00541219">
            <w:pPr>
              <w:spacing w:after="160"/>
              <w:ind w:left="0" w:firstLine="0"/>
            </w:pPr>
          </w:p>
        </w:tc>
      </w:tr>
      <w:tr w:rsidR="00541219" w14:paraId="06A930A2"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1A82AEE3" w14:textId="77777777" w:rsidR="00541219" w:rsidRDefault="00000000">
            <w:pPr>
              <w:spacing w:after="0"/>
              <w:ind w:left="497" w:firstLine="0"/>
              <w:jc w:val="both"/>
            </w:pPr>
            <w:r>
              <w:rPr>
                <w:sz w:val="7"/>
              </w:rPr>
              <w:t xml:space="preserve">     III – manter registro contábil, em separado, das receitas auferidas e custos incorridos com as atividades empresariais referidas na Subcláusula Quinta da Cláusula Primeira; e</w:t>
            </w:r>
          </w:p>
        </w:tc>
        <w:tc>
          <w:tcPr>
            <w:tcW w:w="0" w:type="auto"/>
            <w:gridSpan w:val="2"/>
            <w:vMerge/>
            <w:tcBorders>
              <w:top w:val="nil"/>
              <w:left w:val="single" w:sz="3" w:space="0" w:color="000000"/>
              <w:bottom w:val="nil"/>
              <w:right w:val="nil"/>
            </w:tcBorders>
          </w:tcPr>
          <w:p w14:paraId="227BE913" w14:textId="77777777" w:rsidR="00541219" w:rsidRDefault="00541219">
            <w:pPr>
              <w:spacing w:after="160"/>
              <w:ind w:left="0" w:firstLine="0"/>
            </w:pPr>
          </w:p>
        </w:tc>
      </w:tr>
      <w:tr w:rsidR="00541219" w14:paraId="4406D878" w14:textId="77777777">
        <w:trPr>
          <w:trHeight w:val="91"/>
        </w:trPr>
        <w:tc>
          <w:tcPr>
            <w:tcW w:w="3727" w:type="dxa"/>
            <w:tcBorders>
              <w:top w:val="single" w:sz="3" w:space="0" w:color="000000"/>
              <w:left w:val="single" w:sz="3" w:space="0" w:color="000000"/>
              <w:bottom w:val="single" w:sz="3" w:space="0" w:color="000000"/>
              <w:right w:val="single" w:sz="3" w:space="0" w:color="000000"/>
            </w:tcBorders>
          </w:tcPr>
          <w:p w14:paraId="23BB6935" w14:textId="77777777" w:rsidR="00541219" w:rsidRDefault="00000000">
            <w:pPr>
              <w:spacing w:after="0"/>
              <w:ind w:left="497" w:firstLine="0"/>
            </w:pPr>
            <w:r>
              <w:rPr>
                <w:sz w:val="7"/>
              </w:rPr>
              <w:t xml:space="preserve">     IV – </w:t>
            </w:r>
            <w:proofErr w:type="gramStart"/>
            <w:r>
              <w:rPr>
                <w:sz w:val="7"/>
              </w:rPr>
              <w:t>observar</w:t>
            </w:r>
            <w:proofErr w:type="gramEnd"/>
            <w:r>
              <w:rPr>
                <w:sz w:val="7"/>
              </w:rPr>
              <w:t xml:space="preserve"> as normas que regem a contabilidade regulatória.</w:t>
            </w:r>
          </w:p>
        </w:tc>
        <w:tc>
          <w:tcPr>
            <w:tcW w:w="0" w:type="auto"/>
            <w:gridSpan w:val="2"/>
            <w:vMerge/>
            <w:tcBorders>
              <w:top w:val="nil"/>
              <w:left w:val="single" w:sz="3" w:space="0" w:color="000000"/>
              <w:bottom w:val="nil"/>
              <w:right w:val="nil"/>
            </w:tcBorders>
          </w:tcPr>
          <w:p w14:paraId="67BFCC20" w14:textId="77777777" w:rsidR="00541219" w:rsidRDefault="00541219">
            <w:pPr>
              <w:spacing w:after="160"/>
              <w:ind w:left="0" w:firstLine="0"/>
            </w:pPr>
          </w:p>
        </w:tc>
      </w:tr>
      <w:tr w:rsidR="00541219" w14:paraId="6F0D292C" w14:textId="77777777">
        <w:trPr>
          <w:trHeight w:val="239"/>
        </w:trPr>
        <w:tc>
          <w:tcPr>
            <w:tcW w:w="3727" w:type="dxa"/>
            <w:tcBorders>
              <w:top w:val="single" w:sz="3" w:space="0" w:color="000000"/>
              <w:left w:val="single" w:sz="3" w:space="0" w:color="000000"/>
              <w:bottom w:val="double" w:sz="3" w:space="0" w:color="000000"/>
              <w:right w:val="single" w:sz="3" w:space="0" w:color="000000"/>
            </w:tcBorders>
          </w:tcPr>
          <w:p w14:paraId="55AB3C33" w14:textId="77777777" w:rsidR="00541219" w:rsidRDefault="00000000">
            <w:pPr>
              <w:spacing w:after="0"/>
              <w:ind w:left="497" w:firstLine="0"/>
            </w:pPr>
            <w:r>
              <w:rPr>
                <w:sz w:val="7"/>
              </w:rPr>
              <w:t>Parágrafo Único – A DISTRIBUIDORA deverá alterar, se necessário, e manter inscrito em seus atos constitutivos, durante toda a concessão, as obrigações previstas na Cláusula Oitava.</w:t>
            </w:r>
          </w:p>
        </w:tc>
        <w:tc>
          <w:tcPr>
            <w:tcW w:w="0" w:type="auto"/>
            <w:gridSpan w:val="2"/>
            <w:vMerge/>
            <w:tcBorders>
              <w:top w:val="nil"/>
              <w:left w:val="single" w:sz="3" w:space="0" w:color="000000"/>
              <w:bottom w:val="nil"/>
              <w:right w:val="nil"/>
            </w:tcBorders>
          </w:tcPr>
          <w:p w14:paraId="25314ABE" w14:textId="77777777" w:rsidR="00541219" w:rsidRDefault="00541219">
            <w:pPr>
              <w:spacing w:after="160"/>
              <w:ind w:left="0" w:firstLine="0"/>
            </w:pPr>
          </w:p>
        </w:tc>
      </w:tr>
      <w:tr w:rsidR="00541219" w14:paraId="2F0AF858" w14:textId="77777777">
        <w:trPr>
          <w:trHeight w:val="239"/>
        </w:trPr>
        <w:tc>
          <w:tcPr>
            <w:tcW w:w="3727" w:type="dxa"/>
            <w:tcBorders>
              <w:top w:val="double" w:sz="3" w:space="0" w:color="000000"/>
              <w:left w:val="single" w:sz="3" w:space="0" w:color="000000"/>
              <w:bottom w:val="single" w:sz="3" w:space="0" w:color="000000"/>
              <w:right w:val="single" w:sz="3" w:space="0" w:color="000000"/>
            </w:tcBorders>
          </w:tcPr>
          <w:p w14:paraId="66F16821" w14:textId="77777777" w:rsidR="00541219" w:rsidRDefault="00000000">
            <w:pPr>
              <w:spacing w:after="0"/>
              <w:ind w:left="2" w:firstLine="0"/>
            </w:pPr>
            <w:r>
              <w:t>CLÁUSULA NONA – FISCALIZAÇÃO DO SERVIÇO</w:t>
            </w:r>
          </w:p>
          <w:p w14:paraId="5634B099" w14:textId="77777777" w:rsidR="00541219" w:rsidRDefault="00000000">
            <w:pPr>
              <w:spacing w:after="0"/>
              <w:ind w:left="0" w:firstLine="0"/>
            </w:pPr>
            <w:r>
              <w:rPr>
                <w:sz w:val="7"/>
              </w:rPr>
              <w:t>A exploração do serviço público de distribuição de energia elétrica objeto deste CONTRATO será acompanhada, fiscalizada e regulada pela ANEEL.</w:t>
            </w:r>
          </w:p>
        </w:tc>
        <w:tc>
          <w:tcPr>
            <w:tcW w:w="0" w:type="auto"/>
            <w:gridSpan w:val="2"/>
            <w:vMerge/>
            <w:tcBorders>
              <w:top w:val="nil"/>
              <w:left w:val="single" w:sz="3" w:space="0" w:color="000000"/>
              <w:bottom w:val="nil"/>
              <w:right w:val="nil"/>
            </w:tcBorders>
          </w:tcPr>
          <w:p w14:paraId="3E67CC07" w14:textId="77777777" w:rsidR="00541219" w:rsidRDefault="00541219">
            <w:pPr>
              <w:spacing w:after="160"/>
              <w:ind w:left="0" w:firstLine="0"/>
            </w:pPr>
          </w:p>
        </w:tc>
      </w:tr>
      <w:tr w:rsidR="00541219" w14:paraId="3014DC58" w14:textId="77777777">
        <w:trPr>
          <w:trHeight w:val="458"/>
        </w:trPr>
        <w:tc>
          <w:tcPr>
            <w:tcW w:w="3727" w:type="dxa"/>
            <w:tcBorders>
              <w:top w:val="single" w:sz="3" w:space="0" w:color="000000"/>
              <w:left w:val="single" w:sz="3" w:space="0" w:color="000000"/>
              <w:bottom w:val="single" w:sz="3" w:space="0" w:color="000000"/>
              <w:right w:val="single" w:sz="3" w:space="0" w:color="000000"/>
            </w:tcBorders>
          </w:tcPr>
          <w:p w14:paraId="52E60C9A" w14:textId="77777777" w:rsidR="00541219" w:rsidRDefault="00000000">
            <w:pPr>
              <w:spacing w:after="0"/>
              <w:ind w:left="0" w:right="20" w:firstLine="0"/>
              <w:jc w:val="both"/>
            </w:pPr>
            <w:r>
              <w:rPr>
                <w:sz w:val="7"/>
              </w:rPr>
              <w:t>Subcláusula Primeira – A Fiscalização abrangerá o acompanhamento e o controle das ações e do desempenho da DISTRIBUIDORA nas áreas administrativa, técnica, operacional, comercial, econômica, financeira e contábil, podendo a ANEEL estabelecer diretrizes de procedimento ou sustar ações que considere incompatíveis com a prestação adequada do serviço concedido ou que possam comprometer o equilíbrio econômico e financeiro da concessão.</w:t>
            </w:r>
          </w:p>
        </w:tc>
        <w:tc>
          <w:tcPr>
            <w:tcW w:w="0" w:type="auto"/>
            <w:gridSpan w:val="2"/>
            <w:vMerge/>
            <w:tcBorders>
              <w:top w:val="nil"/>
              <w:left w:val="single" w:sz="3" w:space="0" w:color="000000"/>
              <w:bottom w:val="nil"/>
              <w:right w:val="nil"/>
            </w:tcBorders>
          </w:tcPr>
          <w:p w14:paraId="5E7E5878" w14:textId="77777777" w:rsidR="00541219" w:rsidRDefault="00541219">
            <w:pPr>
              <w:spacing w:after="160"/>
              <w:ind w:left="0" w:firstLine="0"/>
            </w:pPr>
          </w:p>
        </w:tc>
      </w:tr>
      <w:tr w:rsidR="00541219" w14:paraId="1DE34F1F" w14:textId="77777777">
        <w:trPr>
          <w:trHeight w:val="641"/>
        </w:trPr>
        <w:tc>
          <w:tcPr>
            <w:tcW w:w="3727" w:type="dxa"/>
            <w:tcBorders>
              <w:top w:val="single" w:sz="3" w:space="0" w:color="000000"/>
              <w:left w:val="single" w:sz="3" w:space="0" w:color="000000"/>
              <w:bottom w:val="single" w:sz="3" w:space="0" w:color="000000"/>
              <w:right w:val="single" w:sz="3" w:space="0" w:color="000000"/>
            </w:tcBorders>
          </w:tcPr>
          <w:p w14:paraId="2B55F343" w14:textId="77777777" w:rsidR="00541219" w:rsidRDefault="00000000">
            <w:pPr>
              <w:spacing w:after="0"/>
              <w:ind w:left="0" w:right="20" w:firstLine="0"/>
            </w:pPr>
            <w:r>
              <w:rPr>
                <w:sz w:val="7"/>
              </w:rPr>
              <w:t>Subcláusula Segunda – Os servidores da ANEEL, ou seus prepostos, especialmente designados, terão livre e irrestrito acesso, em qualquer época, a toda e qualquer documentação, sistema computacional, obra, instalação e equipamento vinculado ao serviço público de distribuição de energia elétrica, inclusive seus registros contábeis, e poderão requisitar, a qualquer setor ou pessoa da DISTRIBUIDORA, dados e informações que permitam evidenciar o cumprimento das cláusulas e subcláusulas do presente CONTRATO, bem como da legislação vigente, ficando vedado à DISTRIBUIDORA restringir, sob qualquer alegação, o disposto nesta Subcláusula.</w:t>
            </w:r>
          </w:p>
        </w:tc>
        <w:tc>
          <w:tcPr>
            <w:tcW w:w="0" w:type="auto"/>
            <w:gridSpan w:val="2"/>
            <w:vMerge/>
            <w:tcBorders>
              <w:top w:val="nil"/>
              <w:left w:val="single" w:sz="3" w:space="0" w:color="000000"/>
              <w:bottom w:val="nil"/>
              <w:right w:val="nil"/>
            </w:tcBorders>
          </w:tcPr>
          <w:p w14:paraId="1B621C45" w14:textId="77777777" w:rsidR="00541219" w:rsidRDefault="00541219">
            <w:pPr>
              <w:spacing w:after="160"/>
              <w:ind w:left="0" w:firstLine="0"/>
            </w:pPr>
          </w:p>
        </w:tc>
      </w:tr>
      <w:tr w:rsidR="00541219" w14:paraId="2091A6D3"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345F19C0" w14:textId="77777777" w:rsidR="00541219" w:rsidRDefault="00000000">
            <w:pPr>
              <w:spacing w:after="0"/>
              <w:ind w:left="0" w:right="92" w:firstLine="0"/>
              <w:jc w:val="both"/>
            </w:pPr>
            <w:r>
              <w:rPr>
                <w:sz w:val="7"/>
              </w:rPr>
              <w:t>Subcláusula Terceira – A DISTRIBUIDORA deverá disponibilizar à ANEEL, sempre que solicitado, acesso remoto a todos os sistemas utilizados para a prestação dos serviços, pelo período que se fizer necessário e nos prazos requisitados.</w:t>
            </w:r>
          </w:p>
        </w:tc>
        <w:tc>
          <w:tcPr>
            <w:tcW w:w="0" w:type="auto"/>
            <w:gridSpan w:val="2"/>
            <w:vMerge/>
            <w:tcBorders>
              <w:top w:val="nil"/>
              <w:left w:val="single" w:sz="3" w:space="0" w:color="000000"/>
              <w:bottom w:val="nil"/>
              <w:right w:val="nil"/>
            </w:tcBorders>
          </w:tcPr>
          <w:p w14:paraId="3F6BAB26" w14:textId="77777777" w:rsidR="00541219" w:rsidRDefault="00541219">
            <w:pPr>
              <w:spacing w:after="160"/>
              <w:ind w:left="0" w:firstLine="0"/>
            </w:pPr>
          </w:p>
        </w:tc>
      </w:tr>
      <w:tr w:rsidR="00541219" w14:paraId="00217E7C" w14:textId="77777777">
        <w:trPr>
          <w:trHeight w:val="365"/>
        </w:trPr>
        <w:tc>
          <w:tcPr>
            <w:tcW w:w="3727" w:type="dxa"/>
            <w:tcBorders>
              <w:top w:val="single" w:sz="3" w:space="0" w:color="000000"/>
              <w:left w:val="single" w:sz="3" w:space="0" w:color="000000"/>
              <w:bottom w:val="single" w:sz="3" w:space="0" w:color="000000"/>
              <w:right w:val="single" w:sz="3" w:space="0" w:color="000000"/>
            </w:tcBorders>
          </w:tcPr>
          <w:p w14:paraId="0EB9B436" w14:textId="77777777" w:rsidR="00541219" w:rsidRDefault="00000000">
            <w:pPr>
              <w:spacing w:after="0"/>
              <w:ind w:left="0" w:firstLine="0"/>
            </w:pPr>
            <w:r>
              <w:rPr>
                <w:sz w:val="7"/>
              </w:rPr>
              <w:t>Subcláusula Quarta – A fiscalização econômico-financeira compreenderá a análise e o acompanhamento das operações financeiras, os registros contábeis da DISTRIBUIDORA, balancetes, relatórios e demonstrações financeiras, prestação anual de contas e quaisquer outros documentos julgados necessários para uma avaliação da gestão da concessão.</w:t>
            </w:r>
          </w:p>
        </w:tc>
        <w:tc>
          <w:tcPr>
            <w:tcW w:w="0" w:type="auto"/>
            <w:gridSpan w:val="2"/>
            <w:vMerge/>
            <w:tcBorders>
              <w:top w:val="nil"/>
              <w:left w:val="single" w:sz="3" w:space="0" w:color="000000"/>
              <w:bottom w:val="nil"/>
              <w:right w:val="nil"/>
            </w:tcBorders>
          </w:tcPr>
          <w:p w14:paraId="05434101" w14:textId="77777777" w:rsidR="00541219" w:rsidRDefault="00541219">
            <w:pPr>
              <w:spacing w:after="160"/>
              <w:ind w:left="0" w:firstLine="0"/>
            </w:pPr>
          </w:p>
        </w:tc>
      </w:tr>
      <w:tr w:rsidR="00541219" w14:paraId="534988DE" w14:textId="77777777">
        <w:trPr>
          <w:trHeight w:val="365"/>
        </w:trPr>
        <w:tc>
          <w:tcPr>
            <w:tcW w:w="3727" w:type="dxa"/>
            <w:tcBorders>
              <w:top w:val="single" w:sz="3" w:space="0" w:color="000000"/>
              <w:left w:val="single" w:sz="3" w:space="0" w:color="000000"/>
              <w:bottom w:val="single" w:sz="3" w:space="0" w:color="000000"/>
              <w:right w:val="single" w:sz="3" w:space="0" w:color="000000"/>
            </w:tcBorders>
          </w:tcPr>
          <w:p w14:paraId="1FFE1A97" w14:textId="77777777" w:rsidR="00541219" w:rsidRDefault="00000000">
            <w:pPr>
              <w:spacing w:after="0"/>
              <w:ind w:left="0" w:right="42" w:firstLine="0"/>
              <w:jc w:val="both"/>
            </w:pPr>
            <w:r>
              <w:rPr>
                <w:sz w:val="7"/>
              </w:rPr>
              <w:t>Subcláusula Quinta – A ANEEL poderá determinar à DISTRIBUIDORA a rescisão de qualquer contrato por ela celebrado, quando verificar que dele possam resultar danos ao serviço público de distribuição de energia elétrica concedido ou tratamento tarifário diferenciado aos usuários, conforme regulamentação da ANEEL.</w:t>
            </w:r>
          </w:p>
        </w:tc>
        <w:tc>
          <w:tcPr>
            <w:tcW w:w="0" w:type="auto"/>
            <w:gridSpan w:val="2"/>
            <w:vMerge/>
            <w:tcBorders>
              <w:top w:val="nil"/>
              <w:left w:val="single" w:sz="3" w:space="0" w:color="000000"/>
              <w:bottom w:val="nil"/>
              <w:right w:val="nil"/>
            </w:tcBorders>
          </w:tcPr>
          <w:p w14:paraId="724EC787" w14:textId="77777777" w:rsidR="00541219" w:rsidRDefault="00541219">
            <w:pPr>
              <w:spacing w:after="160"/>
              <w:ind w:left="0" w:firstLine="0"/>
            </w:pPr>
          </w:p>
        </w:tc>
      </w:tr>
      <w:tr w:rsidR="00541219" w14:paraId="5166DDB5" w14:textId="77777777">
        <w:trPr>
          <w:trHeight w:val="365"/>
        </w:trPr>
        <w:tc>
          <w:tcPr>
            <w:tcW w:w="3727" w:type="dxa"/>
            <w:tcBorders>
              <w:top w:val="single" w:sz="3" w:space="0" w:color="000000"/>
              <w:left w:val="single" w:sz="3" w:space="0" w:color="000000"/>
              <w:bottom w:val="single" w:sz="3" w:space="0" w:color="000000"/>
              <w:right w:val="single" w:sz="3" w:space="0" w:color="000000"/>
            </w:tcBorders>
          </w:tcPr>
          <w:p w14:paraId="47148C2F" w14:textId="77777777" w:rsidR="00541219" w:rsidRDefault="00000000">
            <w:pPr>
              <w:spacing w:after="0"/>
              <w:ind w:left="0" w:right="2" w:firstLine="0"/>
            </w:pPr>
            <w:r>
              <w:rPr>
                <w:sz w:val="7"/>
              </w:rPr>
              <w:t>Subcláusula Sexta – A fiscalização da ANEEL não exime a DISTRIBUIDORA de suas responsabilidades quanto à adequação das suas obras e instalações, ao cumprimento das normas de serviço estabelecidas pela legislação vigente, à correção e legalidade dos registros contábeis, das obrigações financeiras, técnicas, comerciais e societárias e à qualidade dos serviços prestados.</w:t>
            </w:r>
          </w:p>
        </w:tc>
        <w:tc>
          <w:tcPr>
            <w:tcW w:w="0" w:type="auto"/>
            <w:gridSpan w:val="2"/>
            <w:vMerge/>
            <w:tcBorders>
              <w:top w:val="nil"/>
              <w:left w:val="single" w:sz="3" w:space="0" w:color="000000"/>
              <w:bottom w:val="nil"/>
              <w:right w:val="nil"/>
            </w:tcBorders>
          </w:tcPr>
          <w:p w14:paraId="7A52B140" w14:textId="77777777" w:rsidR="00541219" w:rsidRDefault="00541219">
            <w:pPr>
              <w:spacing w:after="160"/>
              <w:ind w:left="0" w:firstLine="0"/>
            </w:pPr>
          </w:p>
        </w:tc>
      </w:tr>
      <w:tr w:rsidR="00541219" w14:paraId="50B88982" w14:textId="77777777">
        <w:trPr>
          <w:trHeight w:val="330"/>
        </w:trPr>
        <w:tc>
          <w:tcPr>
            <w:tcW w:w="3727" w:type="dxa"/>
            <w:tcBorders>
              <w:top w:val="single" w:sz="3" w:space="0" w:color="000000"/>
              <w:left w:val="single" w:sz="3" w:space="0" w:color="000000"/>
              <w:bottom w:val="double" w:sz="3" w:space="0" w:color="000000"/>
              <w:right w:val="single" w:sz="3" w:space="0" w:color="000000"/>
            </w:tcBorders>
          </w:tcPr>
          <w:p w14:paraId="72545386" w14:textId="77777777" w:rsidR="00541219" w:rsidRDefault="00000000">
            <w:pPr>
              <w:spacing w:after="0"/>
              <w:ind w:left="0" w:right="190" w:firstLine="0"/>
              <w:jc w:val="both"/>
            </w:pPr>
            <w:r>
              <w:rPr>
                <w:sz w:val="7"/>
              </w:rPr>
              <w:t>Subcláusula Sétima – O desatendimento, pela DISTRIBUIDORA, das solicitações e determinações da fiscalização implicará a aplicação das penalidades previstas nas normas regulamentares ou nas disposições deste CONTRATO.</w:t>
            </w:r>
          </w:p>
        </w:tc>
        <w:tc>
          <w:tcPr>
            <w:tcW w:w="0" w:type="auto"/>
            <w:gridSpan w:val="2"/>
            <w:vMerge/>
            <w:tcBorders>
              <w:top w:val="nil"/>
              <w:left w:val="single" w:sz="3" w:space="0" w:color="000000"/>
              <w:bottom w:val="nil"/>
              <w:right w:val="nil"/>
            </w:tcBorders>
          </w:tcPr>
          <w:p w14:paraId="281535AA" w14:textId="77777777" w:rsidR="00541219" w:rsidRDefault="00541219">
            <w:pPr>
              <w:spacing w:after="160"/>
              <w:ind w:left="0" w:firstLine="0"/>
            </w:pPr>
          </w:p>
        </w:tc>
      </w:tr>
      <w:tr w:rsidR="00541219" w14:paraId="2D72AC00" w14:textId="77777777">
        <w:trPr>
          <w:trHeight w:val="421"/>
        </w:trPr>
        <w:tc>
          <w:tcPr>
            <w:tcW w:w="3727" w:type="dxa"/>
            <w:tcBorders>
              <w:top w:val="double" w:sz="3" w:space="0" w:color="000000"/>
              <w:left w:val="single" w:sz="3" w:space="0" w:color="000000"/>
              <w:bottom w:val="single" w:sz="3" w:space="0" w:color="000000"/>
              <w:right w:val="single" w:sz="3" w:space="0" w:color="000000"/>
            </w:tcBorders>
          </w:tcPr>
          <w:p w14:paraId="52801665" w14:textId="77777777" w:rsidR="00541219" w:rsidRDefault="00000000">
            <w:pPr>
              <w:spacing w:after="28"/>
              <w:ind w:left="2" w:firstLine="0"/>
            </w:pPr>
            <w:r>
              <w:t>CLÁUSULA DÉCIMA – PENALIDADES</w:t>
            </w:r>
          </w:p>
          <w:p w14:paraId="16E7F630" w14:textId="77777777" w:rsidR="00541219" w:rsidRDefault="00000000">
            <w:pPr>
              <w:spacing w:after="0"/>
              <w:ind w:left="0" w:firstLine="0"/>
            </w:pPr>
            <w:r>
              <w:rPr>
                <w:sz w:val="7"/>
              </w:rPr>
              <w:t xml:space="preserve">Pelo descumprimento das disposições legais, regulamentares e contratuais pertinentes ao serviço e instalações de energia elétrica, a DISTRIBUIDORA estará sujeita a penalidades conforme legislação e regulamentação em vigor, sem prejuízo do disposto </w:t>
            </w:r>
            <w:proofErr w:type="spellStart"/>
            <w:r>
              <w:rPr>
                <w:sz w:val="7"/>
              </w:rPr>
              <w:t>nas</w:t>
            </w:r>
            <w:proofErr w:type="spellEnd"/>
            <w:r>
              <w:rPr>
                <w:sz w:val="7"/>
              </w:rPr>
              <w:t xml:space="preserve"> Cláusulas Décima Primeira e Décima Segunda deste CONTRATO.</w:t>
            </w:r>
          </w:p>
        </w:tc>
        <w:tc>
          <w:tcPr>
            <w:tcW w:w="0" w:type="auto"/>
            <w:gridSpan w:val="2"/>
            <w:vMerge/>
            <w:tcBorders>
              <w:top w:val="nil"/>
              <w:left w:val="single" w:sz="3" w:space="0" w:color="000000"/>
              <w:bottom w:val="nil"/>
              <w:right w:val="nil"/>
            </w:tcBorders>
          </w:tcPr>
          <w:p w14:paraId="5BDC4C94" w14:textId="77777777" w:rsidR="00541219" w:rsidRDefault="00541219">
            <w:pPr>
              <w:spacing w:after="160"/>
              <w:ind w:left="0" w:firstLine="0"/>
            </w:pPr>
          </w:p>
        </w:tc>
      </w:tr>
      <w:tr w:rsidR="00541219" w14:paraId="575F9C56" w14:textId="77777777">
        <w:trPr>
          <w:trHeight w:val="365"/>
        </w:trPr>
        <w:tc>
          <w:tcPr>
            <w:tcW w:w="3727" w:type="dxa"/>
            <w:tcBorders>
              <w:top w:val="single" w:sz="3" w:space="0" w:color="000000"/>
              <w:left w:val="single" w:sz="3" w:space="0" w:color="000000"/>
              <w:bottom w:val="single" w:sz="3" w:space="0" w:color="000000"/>
              <w:right w:val="single" w:sz="3" w:space="0" w:color="000000"/>
            </w:tcBorders>
          </w:tcPr>
          <w:p w14:paraId="233D347F" w14:textId="77777777" w:rsidR="00541219" w:rsidRDefault="00000000">
            <w:pPr>
              <w:spacing w:after="0"/>
              <w:ind w:left="0" w:right="16" w:firstLine="0"/>
            </w:pPr>
            <w:r>
              <w:rPr>
                <w:sz w:val="7"/>
              </w:rPr>
              <w:t>Subcláusula Primeira – A DISTRIBUIDORA estará sujeita à penalidade de multa, aplicada pela ANEEL de acordo com resolução específica, no valor máximo, por infração incorrida, de 2% (dois por cento) do montante do faturamento da DISTRIBUIDORA dos últimos 12 (doze) meses anteriores à lavratura do auto de infração, nos termos do inciso X do artigo 3o da Lei no 9.427/1995.</w:t>
            </w:r>
          </w:p>
        </w:tc>
        <w:tc>
          <w:tcPr>
            <w:tcW w:w="0" w:type="auto"/>
            <w:gridSpan w:val="2"/>
            <w:vMerge/>
            <w:tcBorders>
              <w:top w:val="nil"/>
              <w:left w:val="single" w:sz="3" w:space="0" w:color="000000"/>
              <w:bottom w:val="nil"/>
              <w:right w:val="nil"/>
            </w:tcBorders>
          </w:tcPr>
          <w:p w14:paraId="7E13C453" w14:textId="77777777" w:rsidR="00541219" w:rsidRDefault="00541219">
            <w:pPr>
              <w:spacing w:after="160"/>
              <w:ind w:left="0" w:firstLine="0"/>
            </w:pPr>
          </w:p>
        </w:tc>
      </w:tr>
      <w:tr w:rsidR="00541219" w14:paraId="6C301582"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09FD7692" w14:textId="77777777" w:rsidR="00541219" w:rsidRDefault="00000000">
            <w:pPr>
              <w:spacing w:after="0"/>
              <w:ind w:left="0" w:firstLine="0"/>
            </w:pPr>
            <w:r>
              <w:rPr>
                <w:sz w:val="7"/>
              </w:rPr>
              <w:t xml:space="preserve">Parágrafo Único – O montante do faturamento a que se refere esta Subcláusula será o que constar do </w:t>
            </w:r>
          </w:p>
          <w:p w14:paraId="5BBA8505" w14:textId="77777777" w:rsidR="00541219" w:rsidRDefault="00000000">
            <w:pPr>
              <w:spacing w:after="0"/>
              <w:ind w:left="0" w:firstLine="0"/>
            </w:pPr>
            <w:r>
              <w:rPr>
                <w:sz w:val="7"/>
              </w:rPr>
              <w:t>Balancete Mensal Padronizado – BMP disponível em data anterior à lavratura do Auto de Infração, nos termos do regulamento setorial.</w:t>
            </w:r>
          </w:p>
        </w:tc>
        <w:tc>
          <w:tcPr>
            <w:tcW w:w="0" w:type="auto"/>
            <w:gridSpan w:val="2"/>
            <w:vMerge/>
            <w:tcBorders>
              <w:top w:val="nil"/>
              <w:left w:val="single" w:sz="3" w:space="0" w:color="000000"/>
              <w:bottom w:val="nil"/>
              <w:right w:val="nil"/>
            </w:tcBorders>
          </w:tcPr>
          <w:p w14:paraId="1D8E03AF" w14:textId="77777777" w:rsidR="00541219" w:rsidRDefault="00541219">
            <w:pPr>
              <w:spacing w:after="160"/>
              <w:ind w:left="0" w:firstLine="0"/>
            </w:pPr>
          </w:p>
        </w:tc>
      </w:tr>
      <w:tr w:rsidR="00541219" w14:paraId="697656F8"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0BB5FA44" w14:textId="77777777" w:rsidR="00541219" w:rsidRDefault="00000000">
            <w:pPr>
              <w:spacing w:after="0"/>
              <w:ind w:left="0" w:firstLine="0"/>
            </w:pPr>
            <w:r>
              <w:rPr>
                <w:sz w:val="7"/>
              </w:rPr>
              <w:t>Subcláusula Segunda – As penalidades serão aplicadas mediante processo administrativo, sendo assegurados à DISTRIBUIDORA seus direitos à ampla defesa e ao contraditório.</w:t>
            </w:r>
          </w:p>
        </w:tc>
        <w:tc>
          <w:tcPr>
            <w:tcW w:w="0" w:type="auto"/>
            <w:gridSpan w:val="2"/>
            <w:vMerge/>
            <w:tcBorders>
              <w:top w:val="nil"/>
              <w:left w:val="single" w:sz="3" w:space="0" w:color="000000"/>
              <w:bottom w:val="nil"/>
              <w:right w:val="nil"/>
            </w:tcBorders>
          </w:tcPr>
          <w:p w14:paraId="5F4EB4AE" w14:textId="77777777" w:rsidR="00541219" w:rsidRDefault="00541219">
            <w:pPr>
              <w:spacing w:after="160"/>
              <w:ind w:left="0" w:firstLine="0"/>
            </w:pPr>
          </w:p>
        </w:tc>
      </w:tr>
      <w:tr w:rsidR="00541219" w14:paraId="4312B8DF" w14:textId="77777777">
        <w:trPr>
          <w:trHeight w:val="421"/>
        </w:trPr>
        <w:tc>
          <w:tcPr>
            <w:tcW w:w="3727" w:type="dxa"/>
            <w:tcBorders>
              <w:top w:val="single" w:sz="3" w:space="0" w:color="000000"/>
              <w:left w:val="single" w:sz="3" w:space="0" w:color="000000"/>
              <w:bottom w:val="double" w:sz="3" w:space="0" w:color="000000"/>
              <w:right w:val="single" w:sz="3" w:space="0" w:color="000000"/>
            </w:tcBorders>
          </w:tcPr>
          <w:p w14:paraId="7BF3472D" w14:textId="77777777" w:rsidR="00541219" w:rsidRDefault="00000000">
            <w:pPr>
              <w:spacing w:after="0"/>
              <w:ind w:left="0" w:right="87" w:firstLine="0"/>
              <w:jc w:val="both"/>
            </w:pPr>
            <w:r>
              <w:rPr>
                <w:sz w:val="7"/>
              </w:rPr>
              <w:t>Subcláusula Terceira – A ANEEL promoverá a cobrança judicial, por via de execução, na forma da legislação vigente, de qualquer penalidade de multa aplicada por descumprimento de preceito legal, regulamentar ou contratual cujo valor não tenha sido recolhido pela DISTRIBUIDORA no prazo fixado pela fiscalização.</w:t>
            </w:r>
          </w:p>
        </w:tc>
        <w:tc>
          <w:tcPr>
            <w:tcW w:w="0" w:type="auto"/>
            <w:gridSpan w:val="2"/>
            <w:vMerge/>
            <w:tcBorders>
              <w:top w:val="nil"/>
              <w:left w:val="single" w:sz="3" w:space="0" w:color="000000"/>
              <w:bottom w:val="nil"/>
              <w:right w:val="nil"/>
            </w:tcBorders>
          </w:tcPr>
          <w:p w14:paraId="3EFE7672" w14:textId="77777777" w:rsidR="00541219" w:rsidRDefault="00541219">
            <w:pPr>
              <w:spacing w:after="160"/>
              <w:ind w:left="0" w:firstLine="0"/>
            </w:pPr>
          </w:p>
        </w:tc>
      </w:tr>
    </w:tbl>
    <w:p w14:paraId="404B2B76" w14:textId="77777777" w:rsidR="00541219" w:rsidRDefault="00000000">
      <w:pPr>
        <w:ind w:left="-672"/>
      </w:pPr>
      <w:r>
        <w:t>CLÁUSULA DÉCIMA PRIMEIRA – INTERVENÇÃO NA CONCESSÃO</w:t>
      </w:r>
    </w:p>
    <w:tbl>
      <w:tblPr>
        <w:tblStyle w:val="TableGrid"/>
        <w:tblW w:w="10240" w:type="dxa"/>
        <w:tblInd w:w="-688" w:type="dxa"/>
        <w:tblCellMar>
          <w:top w:w="0" w:type="dxa"/>
          <w:left w:w="19" w:type="dxa"/>
          <w:bottom w:w="0" w:type="dxa"/>
          <w:right w:w="18" w:type="dxa"/>
        </w:tblCellMar>
        <w:tblLook w:val="04A0" w:firstRow="1" w:lastRow="0" w:firstColumn="1" w:lastColumn="0" w:noHBand="0" w:noVBand="1"/>
      </w:tblPr>
      <w:tblGrid>
        <w:gridCol w:w="3726"/>
        <w:gridCol w:w="3041"/>
        <w:gridCol w:w="3473"/>
      </w:tblGrid>
      <w:tr w:rsidR="00541219" w14:paraId="0D63CEB8" w14:textId="77777777">
        <w:trPr>
          <w:trHeight w:val="145"/>
        </w:trPr>
        <w:tc>
          <w:tcPr>
            <w:tcW w:w="10240" w:type="dxa"/>
            <w:gridSpan w:val="3"/>
            <w:tcBorders>
              <w:top w:val="single" w:sz="6" w:space="0" w:color="000000"/>
              <w:left w:val="single" w:sz="6" w:space="0" w:color="000000"/>
              <w:bottom w:val="single" w:sz="3" w:space="0" w:color="000000"/>
              <w:right w:val="single" w:sz="6" w:space="0" w:color="000000"/>
            </w:tcBorders>
          </w:tcPr>
          <w:p w14:paraId="1ECF2FA7" w14:textId="77777777" w:rsidR="00541219" w:rsidRDefault="00000000">
            <w:pPr>
              <w:spacing w:after="0"/>
              <w:ind w:left="14" w:firstLine="0"/>
              <w:jc w:val="center"/>
            </w:pPr>
            <w:r>
              <w:rPr>
                <w:color w:val="0000FF"/>
                <w:sz w:val="12"/>
              </w:rPr>
              <w:t>CONTRIBUIÇÃO REFERENTE À CONSULTA PÚBLICA Nº 27/2024</w:t>
            </w:r>
          </w:p>
        </w:tc>
      </w:tr>
      <w:tr w:rsidR="00541219" w14:paraId="5B069FA1" w14:textId="77777777">
        <w:trPr>
          <w:trHeight w:val="144"/>
        </w:trPr>
        <w:tc>
          <w:tcPr>
            <w:tcW w:w="10240" w:type="dxa"/>
            <w:gridSpan w:val="3"/>
            <w:tcBorders>
              <w:top w:val="single" w:sz="3" w:space="0" w:color="000000"/>
              <w:left w:val="single" w:sz="6" w:space="0" w:color="000000"/>
              <w:bottom w:val="single" w:sz="3" w:space="0" w:color="000000"/>
              <w:right w:val="single" w:sz="6" w:space="0" w:color="000000"/>
            </w:tcBorders>
          </w:tcPr>
          <w:p w14:paraId="48FE3366" w14:textId="5CB64099" w:rsidR="00541219" w:rsidRDefault="00000000">
            <w:pPr>
              <w:spacing w:after="0"/>
              <w:ind w:left="0" w:firstLine="0"/>
              <w:jc w:val="center"/>
            </w:pPr>
            <w:r>
              <w:rPr>
                <w:color w:val="0000FF"/>
                <w:sz w:val="12"/>
              </w:rPr>
              <w:t xml:space="preserve">NOME DA INSTITUIÇÃO: </w:t>
            </w:r>
            <w:r w:rsidR="008E3408">
              <w:rPr>
                <w:color w:val="0000FF"/>
                <w:sz w:val="12"/>
              </w:rPr>
              <w:t>Conselho de Consumidores da Área de Concessão da Energisa no Mato Grosso do Sul – CONCEN-MS</w:t>
            </w:r>
          </w:p>
        </w:tc>
      </w:tr>
      <w:tr w:rsidR="00541219" w14:paraId="70AA57A7" w14:textId="77777777">
        <w:trPr>
          <w:trHeight w:val="144"/>
        </w:trPr>
        <w:tc>
          <w:tcPr>
            <w:tcW w:w="10240" w:type="dxa"/>
            <w:gridSpan w:val="3"/>
            <w:tcBorders>
              <w:top w:val="single" w:sz="3" w:space="0" w:color="000000"/>
              <w:left w:val="single" w:sz="6" w:space="0" w:color="000000"/>
              <w:bottom w:val="single" w:sz="3" w:space="0" w:color="000000"/>
              <w:right w:val="single" w:sz="6" w:space="0" w:color="000000"/>
            </w:tcBorders>
          </w:tcPr>
          <w:p w14:paraId="2826B995" w14:textId="77777777" w:rsidR="00541219" w:rsidRDefault="00000000">
            <w:pPr>
              <w:tabs>
                <w:tab w:val="center" w:pos="728"/>
                <w:tab w:val="center" w:pos="5110"/>
              </w:tabs>
              <w:spacing w:after="0"/>
              <w:ind w:left="0" w:firstLine="0"/>
            </w:pPr>
            <w:r>
              <w:rPr>
                <w:rFonts w:ascii="Calibri" w:eastAsia="Calibri" w:hAnsi="Calibri" w:cs="Calibri"/>
                <w:sz w:val="22"/>
              </w:rPr>
              <w:lastRenderedPageBreak/>
              <w:tab/>
            </w:r>
            <w:r>
              <w:rPr>
                <w:noProof/>
              </w:rPr>
              <w:drawing>
                <wp:inline distT="0" distB="0" distL="0" distR="0" wp14:anchorId="549772DC" wp14:editId="511E54C9">
                  <wp:extent cx="559308" cy="344424"/>
                  <wp:effectExtent l="0" t="0" r="0" b="0"/>
                  <wp:docPr id="6634" name="Picture 6634"/>
                  <wp:cNvGraphicFramePr/>
                  <a:graphic xmlns:a="http://schemas.openxmlformats.org/drawingml/2006/main">
                    <a:graphicData uri="http://schemas.openxmlformats.org/drawingml/2006/picture">
                      <pic:pic xmlns:pic="http://schemas.openxmlformats.org/drawingml/2006/picture">
                        <pic:nvPicPr>
                          <pic:cNvPr id="6634" name="Picture 6634"/>
                          <pic:cNvPicPr/>
                        </pic:nvPicPr>
                        <pic:blipFill>
                          <a:blip r:embed="rId5"/>
                          <a:stretch>
                            <a:fillRect/>
                          </a:stretch>
                        </pic:blipFill>
                        <pic:spPr>
                          <a:xfrm>
                            <a:off x="0" y="0"/>
                            <a:ext cx="559308" cy="344424"/>
                          </a:xfrm>
                          <a:prstGeom prst="rect">
                            <a:avLst/>
                          </a:prstGeom>
                        </pic:spPr>
                      </pic:pic>
                    </a:graphicData>
                  </a:graphic>
                </wp:inline>
              </w:drawing>
            </w:r>
            <w:r>
              <w:rPr>
                <w:color w:val="0000FF"/>
                <w:sz w:val="12"/>
              </w:rPr>
              <w:tab/>
              <w:t>AGÊNCIA NACIONAL DE ENERGIA ELÉTRICA – ANEEL</w:t>
            </w:r>
          </w:p>
        </w:tc>
      </w:tr>
      <w:tr w:rsidR="00541219" w14:paraId="3A2CE42E" w14:textId="77777777">
        <w:trPr>
          <w:trHeight w:val="173"/>
        </w:trPr>
        <w:tc>
          <w:tcPr>
            <w:tcW w:w="10240" w:type="dxa"/>
            <w:gridSpan w:val="3"/>
            <w:tcBorders>
              <w:top w:val="single" w:sz="3" w:space="0" w:color="000000"/>
              <w:left w:val="single" w:sz="6" w:space="0" w:color="000000"/>
              <w:bottom w:val="single" w:sz="3" w:space="0" w:color="000000"/>
              <w:right w:val="single" w:sz="6" w:space="0" w:color="000000"/>
            </w:tcBorders>
          </w:tcPr>
          <w:p w14:paraId="51F1894B" w14:textId="77777777" w:rsidR="00541219" w:rsidRDefault="00000000">
            <w:pPr>
              <w:spacing w:after="0"/>
              <w:ind w:left="12" w:firstLine="0"/>
              <w:jc w:val="center"/>
            </w:pPr>
            <w:r>
              <w:rPr>
                <w:color w:val="0000FF"/>
              </w:rPr>
              <w:t>ATO REGULATÓRIO: TERMO ADITIVO AO CONTRATO DE CONCESSÃO DE SERVIÇO PÚBLICO DE DISTRIBUIÇÃO DE ENERGIA ELÉTRICA No XX/XX-ANEEL</w:t>
            </w:r>
          </w:p>
        </w:tc>
      </w:tr>
      <w:tr w:rsidR="00541219" w14:paraId="49A84457" w14:textId="77777777">
        <w:trPr>
          <w:trHeight w:val="187"/>
        </w:trPr>
        <w:tc>
          <w:tcPr>
            <w:tcW w:w="10240" w:type="dxa"/>
            <w:gridSpan w:val="3"/>
            <w:tcBorders>
              <w:top w:val="single" w:sz="3" w:space="0" w:color="000000"/>
              <w:left w:val="single" w:sz="6" w:space="0" w:color="000000"/>
              <w:bottom w:val="single" w:sz="3" w:space="0" w:color="000000"/>
              <w:right w:val="single" w:sz="6" w:space="0" w:color="000000"/>
            </w:tcBorders>
          </w:tcPr>
          <w:p w14:paraId="673A7BB2" w14:textId="77777777" w:rsidR="00541219" w:rsidRDefault="00000000">
            <w:pPr>
              <w:spacing w:after="0"/>
              <w:ind w:left="2" w:firstLine="0"/>
              <w:jc w:val="center"/>
            </w:pPr>
            <w:r>
              <w:rPr>
                <w:color w:val="0000FF"/>
              </w:rPr>
              <w:t xml:space="preserve">                                                               EMENTA: Obter subsídios para o aprimoramento da minuta de termo aditivo ao contrato de concessão de distribuição de energia elétrica com vistas à prorrogação das concessões.</w:t>
            </w:r>
          </w:p>
        </w:tc>
      </w:tr>
      <w:tr w:rsidR="00541219" w14:paraId="151BB283" w14:textId="77777777">
        <w:trPr>
          <w:trHeight w:val="130"/>
        </w:trPr>
        <w:tc>
          <w:tcPr>
            <w:tcW w:w="10240" w:type="dxa"/>
            <w:gridSpan w:val="3"/>
            <w:tcBorders>
              <w:top w:val="single" w:sz="3" w:space="0" w:color="000000"/>
              <w:left w:val="single" w:sz="6" w:space="0" w:color="000000"/>
              <w:bottom w:val="single" w:sz="3" w:space="0" w:color="000000"/>
              <w:right w:val="single" w:sz="6" w:space="0" w:color="000000"/>
            </w:tcBorders>
          </w:tcPr>
          <w:p w14:paraId="57528DED" w14:textId="77777777" w:rsidR="00541219" w:rsidRDefault="00000000">
            <w:pPr>
              <w:spacing w:after="0"/>
              <w:ind w:left="0" w:right="2" w:firstLine="0"/>
              <w:jc w:val="center"/>
            </w:pPr>
            <w:r>
              <w:rPr>
                <w:color w:val="0000FF"/>
                <w:sz w:val="10"/>
              </w:rPr>
              <w:t>CONTRIBUIÇÕES RECEBIDAS</w:t>
            </w:r>
          </w:p>
        </w:tc>
      </w:tr>
      <w:tr w:rsidR="00541219" w14:paraId="19357714" w14:textId="77777777">
        <w:trPr>
          <w:trHeight w:val="268"/>
        </w:trPr>
        <w:tc>
          <w:tcPr>
            <w:tcW w:w="10240" w:type="dxa"/>
            <w:gridSpan w:val="3"/>
            <w:tcBorders>
              <w:top w:val="single" w:sz="3" w:space="0" w:color="000000"/>
              <w:left w:val="single" w:sz="6" w:space="0" w:color="000000"/>
              <w:bottom w:val="single" w:sz="6" w:space="0" w:color="000000"/>
              <w:right w:val="single" w:sz="6" w:space="0" w:color="000000"/>
            </w:tcBorders>
          </w:tcPr>
          <w:p w14:paraId="629C1744" w14:textId="77777777" w:rsidR="00541219" w:rsidRDefault="00000000">
            <w:pPr>
              <w:spacing w:after="0"/>
              <w:ind w:left="0" w:firstLine="0"/>
            </w:pPr>
            <w:r>
              <w:t>IMPORTANTE: Os comentários e sugestões referentes às contribuições deverão ser fundamentados e justificados, mencionando-se os artigos, parágrafos e incisos a que se referem, devendo ser acompanhados de textos alternativos e substitutivos quando envolverem sugestões de inclusão ou alteração, parcial ou total, de qualquer dispositivo.</w:t>
            </w:r>
          </w:p>
        </w:tc>
      </w:tr>
      <w:tr w:rsidR="00541219" w14:paraId="3EABFE86" w14:textId="77777777">
        <w:trPr>
          <w:trHeight w:val="209"/>
        </w:trPr>
        <w:tc>
          <w:tcPr>
            <w:tcW w:w="3727" w:type="dxa"/>
            <w:tcBorders>
              <w:top w:val="single" w:sz="6" w:space="0" w:color="000000"/>
              <w:left w:val="single" w:sz="6" w:space="0" w:color="000000"/>
              <w:bottom w:val="double" w:sz="4" w:space="0" w:color="000000"/>
              <w:right w:val="single" w:sz="6" w:space="0" w:color="000000"/>
            </w:tcBorders>
            <w:shd w:val="clear" w:color="auto" w:fill="FF0000"/>
          </w:tcPr>
          <w:p w14:paraId="3325F8E8" w14:textId="77777777" w:rsidR="00541219" w:rsidRDefault="00000000">
            <w:pPr>
              <w:spacing w:after="0"/>
              <w:ind w:left="0" w:right="1" w:firstLine="0"/>
              <w:jc w:val="center"/>
            </w:pPr>
            <w:r>
              <w:rPr>
                <w:color w:val="FFFFFF"/>
                <w:sz w:val="10"/>
              </w:rPr>
              <w:t xml:space="preserve">TEXTO/ANEEL </w:t>
            </w:r>
          </w:p>
        </w:tc>
        <w:tc>
          <w:tcPr>
            <w:tcW w:w="3041" w:type="dxa"/>
            <w:tcBorders>
              <w:top w:val="single" w:sz="6" w:space="0" w:color="000000"/>
              <w:left w:val="single" w:sz="6" w:space="0" w:color="000000"/>
              <w:bottom w:val="single" w:sz="6" w:space="0" w:color="000000"/>
              <w:right w:val="single" w:sz="6" w:space="0" w:color="000000"/>
            </w:tcBorders>
            <w:shd w:val="clear" w:color="auto" w:fill="FF0000"/>
          </w:tcPr>
          <w:p w14:paraId="52CAB06D" w14:textId="77777777" w:rsidR="00541219" w:rsidRDefault="00000000">
            <w:pPr>
              <w:spacing w:after="0"/>
              <w:ind w:left="5" w:firstLine="0"/>
              <w:jc w:val="center"/>
            </w:pPr>
            <w:r>
              <w:rPr>
                <w:color w:val="FFFFFF"/>
                <w:sz w:val="10"/>
              </w:rPr>
              <w:t>TEXTO/INSTITUIÇÃO</w:t>
            </w:r>
          </w:p>
        </w:tc>
        <w:tc>
          <w:tcPr>
            <w:tcW w:w="3473" w:type="dxa"/>
            <w:tcBorders>
              <w:top w:val="single" w:sz="6" w:space="0" w:color="000000"/>
              <w:left w:val="single" w:sz="6" w:space="0" w:color="000000"/>
              <w:bottom w:val="single" w:sz="6" w:space="0" w:color="000000"/>
              <w:right w:val="single" w:sz="6" w:space="0" w:color="000000"/>
            </w:tcBorders>
            <w:shd w:val="clear" w:color="auto" w:fill="FF0000"/>
          </w:tcPr>
          <w:p w14:paraId="44DF1EC3" w14:textId="77777777" w:rsidR="00541219" w:rsidRDefault="00000000">
            <w:pPr>
              <w:spacing w:after="0"/>
              <w:ind w:left="2" w:firstLine="0"/>
              <w:jc w:val="center"/>
            </w:pPr>
            <w:r>
              <w:rPr>
                <w:color w:val="FFFFFF"/>
                <w:sz w:val="10"/>
              </w:rPr>
              <w:t>JUSTIFICATIVA/INSTITUIÇÃO</w:t>
            </w:r>
          </w:p>
        </w:tc>
      </w:tr>
      <w:tr w:rsidR="00541219" w14:paraId="0A7B76D1" w14:textId="77777777">
        <w:trPr>
          <w:trHeight w:val="376"/>
        </w:trPr>
        <w:tc>
          <w:tcPr>
            <w:tcW w:w="3727" w:type="dxa"/>
            <w:tcBorders>
              <w:top w:val="double" w:sz="4" w:space="0" w:color="000000"/>
              <w:left w:val="single" w:sz="3" w:space="0" w:color="000000"/>
              <w:bottom w:val="single" w:sz="3" w:space="0" w:color="000000"/>
              <w:right w:val="single" w:sz="3" w:space="0" w:color="000000"/>
            </w:tcBorders>
          </w:tcPr>
          <w:p w14:paraId="675032CB" w14:textId="77777777" w:rsidR="00541219" w:rsidRDefault="00000000">
            <w:pPr>
              <w:spacing w:after="0"/>
              <w:ind w:left="0" w:right="14" w:firstLine="0"/>
            </w:pPr>
            <w:r>
              <w:rPr>
                <w:sz w:val="7"/>
              </w:rPr>
              <w:t>Sem prejuízo das penalidades cabíveis e das responsabilidades incidentes, a ANEEL poderá intervir na concessão, nos termos da Lei no 8.987/1995 e da Lei n° 12.767/2012, a qualquer tempo, para assegurar a prestação adequada do serviço ou o cumprimento, pela DISTRIBUIDORA, das normas legais, regulamentares ou contratuais.</w:t>
            </w:r>
          </w:p>
        </w:tc>
        <w:tc>
          <w:tcPr>
            <w:tcW w:w="6514" w:type="dxa"/>
            <w:gridSpan w:val="2"/>
            <w:vMerge w:val="restart"/>
            <w:tcBorders>
              <w:top w:val="single" w:sz="6" w:space="0" w:color="000000"/>
              <w:left w:val="single" w:sz="3" w:space="0" w:color="000000"/>
              <w:bottom w:val="single" w:sz="3" w:space="0" w:color="000000"/>
              <w:right w:val="nil"/>
            </w:tcBorders>
          </w:tcPr>
          <w:p w14:paraId="0AB986F7" w14:textId="77777777" w:rsidR="00541219" w:rsidRDefault="00541219">
            <w:pPr>
              <w:spacing w:after="160"/>
              <w:ind w:left="0" w:firstLine="0"/>
            </w:pPr>
          </w:p>
        </w:tc>
      </w:tr>
      <w:tr w:rsidR="00541219" w14:paraId="5F643D49" w14:textId="77777777">
        <w:trPr>
          <w:trHeight w:val="365"/>
        </w:trPr>
        <w:tc>
          <w:tcPr>
            <w:tcW w:w="3727" w:type="dxa"/>
            <w:tcBorders>
              <w:top w:val="single" w:sz="3" w:space="0" w:color="000000"/>
              <w:left w:val="single" w:sz="3" w:space="0" w:color="000000"/>
              <w:bottom w:val="single" w:sz="3" w:space="0" w:color="000000"/>
              <w:right w:val="single" w:sz="3" w:space="0" w:color="000000"/>
            </w:tcBorders>
          </w:tcPr>
          <w:p w14:paraId="3D89F589" w14:textId="77777777" w:rsidR="00541219" w:rsidRDefault="00000000">
            <w:pPr>
              <w:spacing w:after="0"/>
              <w:ind w:left="0" w:firstLine="0"/>
            </w:pPr>
            <w:r>
              <w:rPr>
                <w:sz w:val="7"/>
              </w:rPr>
              <w:t>Subcláusula Única – A intervenção será determinada por ato da ANEEL, que designará o Interventor, o prazo, os objetivos e os limites da intervenção, devendo ser instaurado processo administrativo em 30 (trinta) dias após a publicação do ato, para apurar as causas determinantes da medida e as responsabilidades incidentes, assegurando à DISTRIBUIDORA o direito ao contraditório e à ampla defesa.</w:t>
            </w:r>
          </w:p>
        </w:tc>
        <w:tc>
          <w:tcPr>
            <w:tcW w:w="0" w:type="auto"/>
            <w:gridSpan w:val="2"/>
            <w:vMerge/>
            <w:tcBorders>
              <w:top w:val="nil"/>
              <w:left w:val="single" w:sz="3" w:space="0" w:color="000000"/>
              <w:bottom w:val="nil"/>
              <w:right w:val="nil"/>
            </w:tcBorders>
          </w:tcPr>
          <w:p w14:paraId="709D58CA" w14:textId="77777777" w:rsidR="00541219" w:rsidRDefault="00541219">
            <w:pPr>
              <w:spacing w:after="160"/>
              <w:ind w:left="0" w:firstLine="0"/>
            </w:pPr>
          </w:p>
        </w:tc>
      </w:tr>
      <w:tr w:rsidR="00541219" w14:paraId="4C7AE2E3" w14:textId="77777777">
        <w:trPr>
          <w:trHeight w:val="226"/>
        </w:trPr>
        <w:tc>
          <w:tcPr>
            <w:tcW w:w="3727" w:type="dxa"/>
            <w:tcBorders>
              <w:top w:val="single" w:sz="3" w:space="0" w:color="000000"/>
              <w:left w:val="single" w:sz="3" w:space="0" w:color="000000"/>
              <w:bottom w:val="single" w:sz="3" w:space="0" w:color="000000"/>
              <w:right w:val="single" w:sz="3" w:space="0" w:color="000000"/>
            </w:tcBorders>
            <w:shd w:val="clear" w:color="auto" w:fill="CFE2F3"/>
          </w:tcPr>
          <w:p w14:paraId="238FF5C2" w14:textId="77777777" w:rsidR="00541219" w:rsidRDefault="00000000">
            <w:pPr>
              <w:spacing w:after="2"/>
              <w:ind w:left="2" w:firstLine="0"/>
            </w:pPr>
            <w:r>
              <w:t xml:space="preserve">CLÁUSULA DÉCIMA SEGUNDA – EXTINÇÃO DA CONCESSÃO E REVERSÃO DOS </w:t>
            </w:r>
          </w:p>
          <w:p w14:paraId="64D3DDF4" w14:textId="77777777" w:rsidR="00541219" w:rsidRDefault="00000000">
            <w:pPr>
              <w:spacing w:after="0"/>
              <w:ind w:left="2" w:firstLine="0"/>
            </w:pPr>
            <w:r>
              <w:t>BENS E INSTALAÇÕES VINCULADOS</w:t>
            </w:r>
          </w:p>
        </w:tc>
        <w:tc>
          <w:tcPr>
            <w:tcW w:w="0" w:type="auto"/>
            <w:gridSpan w:val="2"/>
            <w:vMerge/>
            <w:tcBorders>
              <w:top w:val="nil"/>
              <w:left w:val="single" w:sz="3" w:space="0" w:color="000000"/>
              <w:bottom w:val="nil"/>
              <w:right w:val="nil"/>
            </w:tcBorders>
          </w:tcPr>
          <w:p w14:paraId="2EF6C89C" w14:textId="77777777" w:rsidR="00541219" w:rsidRDefault="00541219">
            <w:pPr>
              <w:spacing w:after="160"/>
              <w:ind w:left="0" w:firstLine="0"/>
            </w:pPr>
          </w:p>
        </w:tc>
      </w:tr>
      <w:tr w:rsidR="00541219" w14:paraId="3C00912C"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215EEC9E" w14:textId="77777777" w:rsidR="00541219" w:rsidRDefault="00000000">
            <w:pPr>
              <w:spacing w:after="0"/>
              <w:ind w:left="0" w:right="7" w:firstLine="0"/>
              <w:jc w:val="both"/>
            </w:pPr>
            <w:r>
              <w:rPr>
                <w:sz w:val="7"/>
              </w:rPr>
              <w:t>A concessão para exploração do serviço público de distribuição de energia elétrica regulada por este CONTRATO será considerada extinta, observadas as normas setoriais, nos seguintes casos:</w:t>
            </w:r>
          </w:p>
        </w:tc>
        <w:tc>
          <w:tcPr>
            <w:tcW w:w="0" w:type="auto"/>
            <w:gridSpan w:val="2"/>
            <w:vMerge/>
            <w:tcBorders>
              <w:top w:val="nil"/>
              <w:left w:val="single" w:sz="3" w:space="0" w:color="000000"/>
              <w:bottom w:val="nil"/>
              <w:right w:val="nil"/>
            </w:tcBorders>
          </w:tcPr>
          <w:p w14:paraId="51A82E2F" w14:textId="77777777" w:rsidR="00541219" w:rsidRDefault="00541219">
            <w:pPr>
              <w:spacing w:after="160"/>
              <w:ind w:left="0" w:firstLine="0"/>
            </w:pPr>
          </w:p>
        </w:tc>
      </w:tr>
      <w:tr w:rsidR="00541219" w14:paraId="755457E2" w14:textId="77777777">
        <w:trPr>
          <w:trHeight w:val="91"/>
        </w:trPr>
        <w:tc>
          <w:tcPr>
            <w:tcW w:w="3727" w:type="dxa"/>
            <w:tcBorders>
              <w:top w:val="single" w:sz="3" w:space="0" w:color="000000"/>
              <w:left w:val="single" w:sz="3" w:space="0" w:color="000000"/>
              <w:bottom w:val="single" w:sz="3" w:space="0" w:color="000000"/>
              <w:right w:val="single" w:sz="3" w:space="0" w:color="000000"/>
            </w:tcBorders>
          </w:tcPr>
          <w:p w14:paraId="7CCE257D" w14:textId="77777777" w:rsidR="00541219" w:rsidRDefault="00000000">
            <w:pPr>
              <w:spacing w:after="0"/>
              <w:ind w:left="0" w:firstLine="0"/>
            </w:pPr>
            <w:r>
              <w:rPr>
                <w:sz w:val="7"/>
              </w:rPr>
              <w:t xml:space="preserve">     I. advento do termo contratual;</w:t>
            </w:r>
          </w:p>
        </w:tc>
        <w:tc>
          <w:tcPr>
            <w:tcW w:w="0" w:type="auto"/>
            <w:gridSpan w:val="2"/>
            <w:vMerge/>
            <w:tcBorders>
              <w:top w:val="nil"/>
              <w:left w:val="single" w:sz="3" w:space="0" w:color="000000"/>
              <w:bottom w:val="nil"/>
              <w:right w:val="nil"/>
            </w:tcBorders>
          </w:tcPr>
          <w:p w14:paraId="0B812AD1" w14:textId="77777777" w:rsidR="00541219" w:rsidRDefault="00541219">
            <w:pPr>
              <w:spacing w:after="160"/>
              <w:ind w:left="0" w:firstLine="0"/>
            </w:pPr>
          </w:p>
        </w:tc>
      </w:tr>
      <w:tr w:rsidR="00541219" w14:paraId="7C1AC4F5" w14:textId="77777777">
        <w:trPr>
          <w:trHeight w:val="91"/>
        </w:trPr>
        <w:tc>
          <w:tcPr>
            <w:tcW w:w="3727" w:type="dxa"/>
            <w:tcBorders>
              <w:top w:val="single" w:sz="3" w:space="0" w:color="000000"/>
              <w:left w:val="single" w:sz="3" w:space="0" w:color="000000"/>
              <w:bottom w:val="single" w:sz="3" w:space="0" w:color="000000"/>
              <w:right w:val="single" w:sz="3" w:space="0" w:color="000000"/>
            </w:tcBorders>
          </w:tcPr>
          <w:p w14:paraId="3FBC6FA3" w14:textId="77777777" w:rsidR="00541219" w:rsidRDefault="00000000">
            <w:pPr>
              <w:spacing w:after="0"/>
              <w:ind w:left="0" w:firstLine="0"/>
            </w:pPr>
            <w:r>
              <w:rPr>
                <w:sz w:val="7"/>
              </w:rPr>
              <w:t xml:space="preserve">     II. encampação do serviço;</w:t>
            </w:r>
          </w:p>
        </w:tc>
        <w:tc>
          <w:tcPr>
            <w:tcW w:w="0" w:type="auto"/>
            <w:gridSpan w:val="2"/>
            <w:vMerge/>
            <w:tcBorders>
              <w:top w:val="nil"/>
              <w:left w:val="single" w:sz="3" w:space="0" w:color="000000"/>
              <w:bottom w:val="nil"/>
              <w:right w:val="nil"/>
            </w:tcBorders>
          </w:tcPr>
          <w:p w14:paraId="3B13A7D7" w14:textId="77777777" w:rsidR="00541219" w:rsidRDefault="00541219">
            <w:pPr>
              <w:spacing w:after="160"/>
              <w:ind w:left="0" w:firstLine="0"/>
            </w:pPr>
          </w:p>
        </w:tc>
      </w:tr>
      <w:tr w:rsidR="00541219" w14:paraId="1AAE61E5" w14:textId="77777777">
        <w:trPr>
          <w:trHeight w:val="91"/>
        </w:trPr>
        <w:tc>
          <w:tcPr>
            <w:tcW w:w="3727" w:type="dxa"/>
            <w:tcBorders>
              <w:top w:val="single" w:sz="3" w:space="0" w:color="000000"/>
              <w:left w:val="single" w:sz="3" w:space="0" w:color="000000"/>
              <w:bottom w:val="single" w:sz="3" w:space="0" w:color="000000"/>
              <w:right w:val="single" w:sz="3" w:space="0" w:color="000000"/>
            </w:tcBorders>
          </w:tcPr>
          <w:p w14:paraId="2A02F3C0" w14:textId="77777777" w:rsidR="00541219" w:rsidRDefault="00000000">
            <w:pPr>
              <w:spacing w:after="0"/>
              <w:ind w:left="0" w:firstLine="0"/>
            </w:pPr>
            <w:r>
              <w:rPr>
                <w:sz w:val="7"/>
              </w:rPr>
              <w:t xml:space="preserve">     III. caducidade</w:t>
            </w:r>
          </w:p>
        </w:tc>
        <w:tc>
          <w:tcPr>
            <w:tcW w:w="0" w:type="auto"/>
            <w:gridSpan w:val="2"/>
            <w:vMerge/>
            <w:tcBorders>
              <w:top w:val="nil"/>
              <w:left w:val="single" w:sz="3" w:space="0" w:color="000000"/>
              <w:bottom w:val="nil"/>
              <w:right w:val="nil"/>
            </w:tcBorders>
          </w:tcPr>
          <w:p w14:paraId="4E4DD342" w14:textId="77777777" w:rsidR="00541219" w:rsidRDefault="00541219">
            <w:pPr>
              <w:spacing w:after="160"/>
              <w:ind w:left="0" w:firstLine="0"/>
            </w:pPr>
          </w:p>
        </w:tc>
      </w:tr>
      <w:tr w:rsidR="00541219" w14:paraId="7DFB43C5" w14:textId="77777777">
        <w:trPr>
          <w:trHeight w:val="91"/>
        </w:trPr>
        <w:tc>
          <w:tcPr>
            <w:tcW w:w="3727" w:type="dxa"/>
            <w:tcBorders>
              <w:top w:val="single" w:sz="3" w:space="0" w:color="000000"/>
              <w:left w:val="single" w:sz="3" w:space="0" w:color="000000"/>
              <w:bottom w:val="single" w:sz="3" w:space="0" w:color="000000"/>
              <w:right w:val="single" w:sz="3" w:space="0" w:color="000000"/>
            </w:tcBorders>
          </w:tcPr>
          <w:p w14:paraId="2EEE5CA5" w14:textId="77777777" w:rsidR="00541219" w:rsidRDefault="00000000">
            <w:pPr>
              <w:spacing w:after="0"/>
              <w:ind w:left="0" w:firstLine="0"/>
            </w:pPr>
            <w:r>
              <w:rPr>
                <w:sz w:val="7"/>
              </w:rPr>
              <w:t xml:space="preserve">     IV. rescisão;</w:t>
            </w:r>
          </w:p>
        </w:tc>
        <w:tc>
          <w:tcPr>
            <w:tcW w:w="0" w:type="auto"/>
            <w:gridSpan w:val="2"/>
            <w:vMerge/>
            <w:tcBorders>
              <w:top w:val="nil"/>
              <w:left w:val="single" w:sz="3" w:space="0" w:color="000000"/>
              <w:bottom w:val="nil"/>
              <w:right w:val="nil"/>
            </w:tcBorders>
          </w:tcPr>
          <w:p w14:paraId="0964E03D" w14:textId="77777777" w:rsidR="00541219" w:rsidRDefault="00541219">
            <w:pPr>
              <w:spacing w:after="160"/>
              <w:ind w:left="0" w:firstLine="0"/>
            </w:pPr>
          </w:p>
        </w:tc>
      </w:tr>
      <w:tr w:rsidR="00541219" w14:paraId="25306AA2" w14:textId="77777777">
        <w:trPr>
          <w:trHeight w:val="118"/>
        </w:trPr>
        <w:tc>
          <w:tcPr>
            <w:tcW w:w="3727" w:type="dxa"/>
            <w:tcBorders>
              <w:top w:val="single" w:sz="3" w:space="0" w:color="000000"/>
              <w:left w:val="single" w:sz="3" w:space="0" w:color="000000"/>
              <w:bottom w:val="single" w:sz="3" w:space="0" w:color="000000"/>
              <w:right w:val="single" w:sz="3" w:space="0" w:color="000000"/>
            </w:tcBorders>
          </w:tcPr>
          <w:p w14:paraId="2B63E4F0" w14:textId="77777777" w:rsidR="00541219" w:rsidRDefault="00000000">
            <w:pPr>
              <w:spacing w:after="0"/>
              <w:ind w:left="0" w:firstLine="0"/>
            </w:pPr>
            <w:r>
              <w:rPr>
                <w:sz w:val="7"/>
              </w:rPr>
              <w:t xml:space="preserve">     V. anulação decorrente de vício ou irregularidade constatada no procedimento ou no ato de sua outorga; e</w:t>
            </w:r>
          </w:p>
        </w:tc>
        <w:tc>
          <w:tcPr>
            <w:tcW w:w="0" w:type="auto"/>
            <w:gridSpan w:val="2"/>
            <w:vMerge/>
            <w:tcBorders>
              <w:top w:val="nil"/>
              <w:left w:val="single" w:sz="3" w:space="0" w:color="000000"/>
              <w:bottom w:val="nil"/>
              <w:right w:val="nil"/>
            </w:tcBorders>
          </w:tcPr>
          <w:p w14:paraId="32529525" w14:textId="77777777" w:rsidR="00541219" w:rsidRDefault="00541219">
            <w:pPr>
              <w:spacing w:after="160"/>
              <w:ind w:left="0" w:firstLine="0"/>
            </w:pPr>
          </w:p>
        </w:tc>
      </w:tr>
      <w:tr w:rsidR="00541219" w14:paraId="45608030" w14:textId="77777777">
        <w:trPr>
          <w:trHeight w:val="91"/>
        </w:trPr>
        <w:tc>
          <w:tcPr>
            <w:tcW w:w="3727" w:type="dxa"/>
            <w:tcBorders>
              <w:top w:val="single" w:sz="3" w:space="0" w:color="000000"/>
              <w:left w:val="single" w:sz="3" w:space="0" w:color="000000"/>
              <w:bottom w:val="single" w:sz="3" w:space="0" w:color="000000"/>
              <w:right w:val="single" w:sz="3" w:space="0" w:color="000000"/>
            </w:tcBorders>
          </w:tcPr>
          <w:p w14:paraId="4D77998D" w14:textId="77777777" w:rsidR="00541219" w:rsidRDefault="00000000">
            <w:pPr>
              <w:spacing w:after="0"/>
              <w:ind w:left="0" w:firstLine="0"/>
            </w:pPr>
            <w:r>
              <w:rPr>
                <w:sz w:val="7"/>
              </w:rPr>
              <w:t xml:space="preserve">     VI. falência ou extinção da DISTRIBUIDORA.</w:t>
            </w:r>
          </w:p>
        </w:tc>
        <w:tc>
          <w:tcPr>
            <w:tcW w:w="0" w:type="auto"/>
            <w:gridSpan w:val="2"/>
            <w:vMerge/>
            <w:tcBorders>
              <w:top w:val="nil"/>
              <w:left w:val="single" w:sz="3" w:space="0" w:color="000000"/>
              <w:bottom w:val="nil"/>
              <w:right w:val="nil"/>
            </w:tcBorders>
          </w:tcPr>
          <w:p w14:paraId="004A81C1" w14:textId="77777777" w:rsidR="00541219" w:rsidRDefault="00541219">
            <w:pPr>
              <w:spacing w:after="160"/>
              <w:ind w:left="0" w:firstLine="0"/>
            </w:pPr>
          </w:p>
        </w:tc>
      </w:tr>
      <w:tr w:rsidR="00541219" w14:paraId="77519373" w14:textId="77777777">
        <w:trPr>
          <w:trHeight w:val="365"/>
        </w:trPr>
        <w:tc>
          <w:tcPr>
            <w:tcW w:w="3727" w:type="dxa"/>
            <w:tcBorders>
              <w:top w:val="single" w:sz="3" w:space="0" w:color="000000"/>
              <w:left w:val="single" w:sz="3" w:space="0" w:color="000000"/>
              <w:bottom w:val="single" w:sz="3" w:space="0" w:color="000000"/>
              <w:right w:val="single" w:sz="3" w:space="0" w:color="000000"/>
            </w:tcBorders>
          </w:tcPr>
          <w:p w14:paraId="22227853" w14:textId="77777777" w:rsidR="00541219" w:rsidRDefault="00000000">
            <w:pPr>
              <w:spacing w:after="0"/>
              <w:ind w:left="0" w:firstLine="0"/>
            </w:pPr>
            <w:r>
              <w:rPr>
                <w:sz w:val="7"/>
              </w:rPr>
              <w:t>Subcláusula Primeira – O advento do termo contratual opera de pleno direito a extinção da concessão, facultando-se ao PODER CONCEDENTE, quando indispensável à preservação da continuidade na prestação do serviço público, prorrogar precariamente o presente CONTRATO até a assunção de nova outorga.</w:t>
            </w:r>
          </w:p>
        </w:tc>
        <w:tc>
          <w:tcPr>
            <w:tcW w:w="0" w:type="auto"/>
            <w:gridSpan w:val="2"/>
            <w:vMerge/>
            <w:tcBorders>
              <w:top w:val="nil"/>
              <w:left w:val="single" w:sz="3" w:space="0" w:color="000000"/>
              <w:bottom w:val="nil"/>
              <w:right w:val="nil"/>
            </w:tcBorders>
          </w:tcPr>
          <w:p w14:paraId="1F6EC393" w14:textId="77777777" w:rsidR="00541219" w:rsidRDefault="00541219">
            <w:pPr>
              <w:spacing w:after="160"/>
              <w:ind w:left="0" w:firstLine="0"/>
            </w:pPr>
          </w:p>
        </w:tc>
      </w:tr>
      <w:tr w:rsidR="00541219" w14:paraId="7275511F" w14:textId="77777777">
        <w:trPr>
          <w:trHeight w:val="365"/>
        </w:trPr>
        <w:tc>
          <w:tcPr>
            <w:tcW w:w="3727" w:type="dxa"/>
            <w:tcBorders>
              <w:top w:val="single" w:sz="3" w:space="0" w:color="000000"/>
              <w:left w:val="single" w:sz="3" w:space="0" w:color="000000"/>
              <w:bottom w:val="single" w:sz="3" w:space="0" w:color="000000"/>
              <w:right w:val="single" w:sz="3" w:space="0" w:color="000000"/>
            </w:tcBorders>
          </w:tcPr>
          <w:p w14:paraId="0F9293B3" w14:textId="77777777" w:rsidR="00541219" w:rsidRDefault="00000000">
            <w:pPr>
              <w:spacing w:after="0"/>
              <w:ind w:left="0" w:right="18" w:firstLine="0"/>
              <w:jc w:val="both"/>
            </w:pPr>
            <w:r>
              <w:rPr>
                <w:sz w:val="7"/>
              </w:rPr>
              <w:t>Subcláusula Segunda – Extinta a concessão, operar-se-á, de pleno direito, a reversão dos bens e instalações vinculados ao serviço ao PODER CONCEDENTE, procedendo-se aos levantamentos e às avaliações, bem como a determinação do montante da indenização devida à DISTRIBUIDORA, considerando os seguintes procedimentos:</w:t>
            </w:r>
          </w:p>
        </w:tc>
        <w:tc>
          <w:tcPr>
            <w:tcW w:w="0" w:type="auto"/>
            <w:gridSpan w:val="2"/>
            <w:vMerge/>
            <w:tcBorders>
              <w:top w:val="nil"/>
              <w:left w:val="single" w:sz="3" w:space="0" w:color="000000"/>
              <w:bottom w:val="nil"/>
              <w:right w:val="nil"/>
            </w:tcBorders>
          </w:tcPr>
          <w:p w14:paraId="0538E351" w14:textId="77777777" w:rsidR="00541219" w:rsidRDefault="00541219">
            <w:pPr>
              <w:spacing w:after="160"/>
              <w:ind w:left="0" w:firstLine="0"/>
            </w:pPr>
          </w:p>
        </w:tc>
      </w:tr>
      <w:tr w:rsidR="00541219" w14:paraId="4E8D91B3" w14:textId="77777777">
        <w:trPr>
          <w:trHeight w:val="91"/>
        </w:trPr>
        <w:tc>
          <w:tcPr>
            <w:tcW w:w="3727" w:type="dxa"/>
            <w:tcBorders>
              <w:top w:val="single" w:sz="3" w:space="0" w:color="000000"/>
              <w:left w:val="single" w:sz="3" w:space="0" w:color="000000"/>
              <w:bottom w:val="single" w:sz="3" w:space="0" w:color="000000"/>
              <w:right w:val="single" w:sz="3" w:space="0" w:color="000000"/>
            </w:tcBorders>
          </w:tcPr>
          <w:p w14:paraId="19B60308" w14:textId="77777777" w:rsidR="00541219" w:rsidRDefault="00000000">
            <w:pPr>
              <w:spacing w:after="0"/>
              <w:ind w:left="497" w:firstLine="0"/>
            </w:pPr>
            <w:r>
              <w:rPr>
                <w:sz w:val="7"/>
              </w:rPr>
              <w:t xml:space="preserve">     I. Realização de inventário dos bens reversíveis;</w:t>
            </w:r>
          </w:p>
        </w:tc>
        <w:tc>
          <w:tcPr>
            <w:tcW w:w="0" w:type="auto"/>
            <w:gridSpan w:val="2"/>
            <w:vMerge/>
            <w:tcBorders>
              <w:top w:val="nil"/>
              <w:left w:val="single" w:sz="3" w:space="0" w:color="000000"/>
              <w:bottom w:val="nil"/>
              <w:right w:val="nil"/>
            </w:tcBorders>
          </w:tcPr>
          <w:p w14:paraId="769F0B9E" w14:textId="77777777" w:rsidR="00541219" w:rsidRDefault="00541219">
            <w:pPr>
              <w:spacing w:after="160"/>
              <w:ind w:left="0" w:firstLine="0"/>
            </w:pPr>
          </w:p>
        </w:tc>
      </w:tr>
      <w:tr w:rsidR="00541219" w14:paraId="68B371D0" w14:textId="77777777">
        <w:trPr>
          <w:trHeight w:val="91"/>
        </w:trPr>
        <w:tc>
          <w:tcPr>
            <w:tcW w:w="3727" w:type="dxa"/>
            <w:tcBorders>
              <w:top w:val="single" w:sz="3" w:space="0" w:color="000000"/>
              <w:left w:val="single" w:sz="3" w:space="0" w:color="000000"/>
              <w:bottom w:val="single" w:sz="3" w:space="0" w:color="000000"/>
              <w:right w:val="single" w:sz="3" w:space="0" w:color="000000"/>
            </w:tcBorders>
          </w:tcPr>
          <w:p w14:paraId="281B700C" w14:textId="77777777" w:rsidR="00541219" w:rsidRDefault="00000000">
            <w:pPr>
              <w:spacing w:after="0"/>
              <w:ind w:left="497" w:firstLine="0"/>
            </w:pPr>
            <w:r>
              <w:rPr>
                <w:sz w:val="7"/>
              </w:rPr>
              <w:t xml:space="preserve">     II. Valoração destes bens pelo Valor Novo de Reposição – VNR;</w:t>
            </w:r>
          </w:p>
        </w:tc>
        <w:tc>
          <w:tcPr>
            <w:tcW w:w="0" w:type="auto"/>
            <w:gridSpan w:val="2"/>
            <w:vMerge/>
            <w:tcBorders>
              <w:top w:val="nil"/>
              <w:left w:val="single" w:sz="3" w:space="0" w:color="000000"/>
              <w:bottom w:val="nil"/>
              <w:right w:val="nil"/>
            </w:tcBorders>
          </w:tcPr>
          <w:p w14:paraId="3FA6450A" w14:textId="77777777" w:rsidR="00541219" w:rsidRDefault="00541219">
            <w:pPr>
              <w:spacing w:after="160"/>
              <w:ind w:left="0" w:firstLine="0"/>
            </w:pPr>
          </w:p>
        </w:tc>
      </w:tr>
      <w:tr w:rsidR="00541219" w14:paraId="3DCE8BD6"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472228F4" w14:textId="77777777" w:rsidR="00541219" w:rsidRDefault="00000000">
            <w:pPr>
              <w:spacing w:after="0"/>
              <w:ind w:left="497" w:firstLine="0"/>
            </w:pPr>
            <w:r>
              <w:rPr>
                <w:sz w:val="7"/>
              </w:rPr>
              <w:t xml:space="preserve">     III. Consideração da depreciação acumulada observadas as datas de incorporação do bem ao sistema elétrico obtendo-se o valor líquido; e</w:t>
            </w:r>
          </w:p>
        </w:tc>
        <w:tc>
          <w:tcPr>
            <w:tcW w:w="0" w:type="auto"/>
            <w:gridSpan w:val="2"/>
            <w:vMerge/>
            <w:tcBorders>
              <w:top w:val="nil"/>
              <w:left w:val="single" w:sz="3" w:space="0" w:color="000000"/>
              <w:bottom w:val="nil"/>
              <w:right w:val="nil"/>
            </w:tcBorders>
          </w:tcPr>
          <w:p w14:paraId="048A042B" w14:textId="77777777" w:rsidR="00541219" w:rsidRDefault="00541219">
            <w:pPr>
              <w:spacing w:after="160"/>
              <w:ind w:left="0" w:firstLine="0"/>
            </w:pPr>
          </w:p>
        </w:tc>
      </w:tr>
      <w:tr w:rsidR="00541219" w14:paraId="06A94D34" w14:textId="77777777">
        <w:trPr>
          <w:trHeight w:val="91"/>
        </w:trPr>
        <w:tc>
          <w:tcPr>
            <w:tcW w:w="3727" w:type="dxa"/>
            <w:tcBorders>
              <w:top w:val="single" w:sz="3" w:space="0" w:color="000000"/>
              <w:left w:val="single" w:sz="3" w:space="0" w:color="000000"/>
              <w:bottom w:val="single" w:sz="3" w:space="0" w:color="000000"/>
              <w:right w:val="single" w:sz="3" w:space="0" w:color="000000"/>
            </w:tcBorders>
          </w:tcPr>
          <w:p w14:paraId="37D75CA5" w14:textId="77777777" w:rsidR="00541219" w:rsidRDefault="00000000">
            <w:pPr>
              <w:spacing w:after="0"/>
              <w:ind w:left="497" w:firstLine="0"/>
            </w:pPr>
            <w:r>
              <w:rPr>
                <w:sz w:val="7"/>
              </w:rPr>
              <w:t xml:space="preserve">     IV. Abatimento das Obrigações Especiais – OE do cálculo do valor a ser indenizado;</w:t>
            </w:r>
          </w:p>
        </w:tc>
        <w:tc>
          <w:tcPr>
            <w:tcW w:w="0" w:type="auto"/>
            <w:gridSpan w:val="2"/>
            <w:vMerge/>
            <w:tcBorders>
              <w:top w:val="nil"/>
              <w:left w:val="single" w:sz="3" w:space="0" w:color="000000"/>
              <w:bottom w:val="nil"/>
              <w:right w:val="nil"/>
            </w:tcBorders>
          </w:tcPr>
          <w:p w14:paraId="5C09FFDB" w14:textId="77777777" w:rsidR="00541219" w:rsidRDefault="00541219">
            <w:pPr>
              <w:spacing w:after="160"/>
              <w:ind w:left="0" w:firstLine="0"/>
            </w:pPr>
          </w:p>
        </w:tc>
      </w:tr>
      <w:tr w:rsidR="00541219" w14:paraId="6E087058" w14:textId="77777777">
        <w:trPr>
          <w:trHeight w:val="550"/>
        </w:trPr>
        <w:tc>
          <w:tcPr>
            <w:tcW w:w="3727" w:type="dxa"/>
            <w:tcBorders>
              <w:top w:val="single" w:sz="3" w:space="0" w:color="000000"/>
              <w:left w:val="single" w:sz="3" w:space="0" w:color="000000"/>
              <w:bottom w:val="single" w:sz="3" w:space="0" w:color="000000"/>
              <w:right w:val="single" w:sz="3" w:space="0" w:color="000000"/>
            </w:tcBorders>
          </w:tcPr>
          <w:p w14:paraId="280372CC" w14:textId="77777777" w:rsidR="00541219" w:rsidRDefault="00000000">
            <w:pPr>
              <w:spacing w:after="0"/>
              <w:ind w:left="0" w:firstLine="0"/>
            </w:pPr>
            <w:r>
              <w:rPr>
                <w:sz w:val="7"/>
              </w:rPr>
              <w:t>Subcláusula Terceira – Além dos valores indenizados referentes aos ativos ainda não amortizados dos bens reversíveis, também serão considerados, para fins de indenização, os saldos remanescentes (ativos ou passivos) de eventual insuficiência de recolhimento ou ressarcimento pela tarifa em decorrência da extinção, por qualquer motivo, da concessão, relativos a valores financeiros a serem apurados com base nos regulamentos preestabelecidos pelo Regulador, incluídos aqueles constituídos após a última alteração tarifária.</w:t>
            </w:r>
          </w:p>
        </w:tc>
        <w:tc>
          <w:tcPr>
            <w:tcW w:w="0" w:type="auto"/>
            <w:gridSpan w:val="2"/>
            <w:vMerge/>
            <w:tcBorders>
              <w:top w:val="nil"/>
              <w:left w:val="single" w:sz="3" w:space="0" w:color="000000"/>
              <w:bottom w:val="nil"/>
              <w:right w:val="nil"/>
            </w:tcBorders>
          </w:tcPr>
          <w:p w14:paraId="2757CAB6" w14:textId="77777777" w:rsidR="00541219" w:rsidRDefault="00541219">
            <w:pPr>
              <w:spacing w:after="160"/>
              <w:ind w:left="0" w:firstLine="0"/>
            </w:pPr>
          </w:p>
        </w:tc>
      </w:tr>
      <w:tr w:rsidR="00541219" w14:paraId="33C36D9B"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54CAE411" w14:textId="77777777" w:rsidR="00541219" w:rsidRDefault="00000000">
            <w:pPr>
              <w:spacing w:after="0"/>
              <w:ind w:left="0" w:firstLine="0"/>
              <w:jc w:val="both"/>
            </w:pPr>
            <w:r>
              <w:rPr>
                <w:sz w:val="7"/>
              </w:rPr>
              <w:t>Subcláusula Quarta – São considerados bens reversíveis aqueles vinculados ao serviço concedido, indispensáveis para a continuidade da prestação do serviço público de distribuição de energia elétrica.</w:t>
            </w:r>
          </w:p>
        </w:tc>
        <w:tc>
          <w:tcPr>
            <w:tcW w:w="0" w:type="auto"/>
            <w:gridSpan w:val="2"/>
            <w:vMerge/>
            <w:tcBorders>
              <w:top w:val="nil"/>
              <w:left w:val="single" w:sz="3" w:space="0" w:color="000000"/>
              <w:bottom w:val="nil"/>
              <w:right w:val="nil"/>
            </w:tcBorders>
          </w:tcPr>
          <w:p w14:paraId="069C4303" w14:textId="77777777" w:rsidR="00541219" w:rsidRDefault="00541219">
            <w:pPr>
              <w:spacing w:after="160"/>
              <w:ind w:left="0" w:firstLine="0"/>
            </w:pPr>
          </w:p>
        </w:tc>
      </w:tr>
      <w:tr w:rsidR="00541219" w14:paraId="193FF77C" w14:textId="77777777">
        <w:trPr>
          <w:trHeight w:val="365"/>
        </w:trPr>
        <w:tc>
          <w:tcPr>
            <w:tcW w:w="3727" w:type="dxa"/>
            <w:tcBorders>
              <w:top w:val="single" w:sz="3" w:space="0" w:color="000000"/>
              <w:left w:val="single" w:sz="3" w:space="0" w:color="000000"/>
              <w:bottom w:val="single" w:sz="3" w:space="0" w:color="000000"/>
              <w:right w:val="single" w:sz="3" w:space="0" w:color="000000"/>
            </w:tcBorders>
          </w:tcPr>
          <w:p w14:paraId="6B50B0E4" w14:textId="77777777" w:rsidR="00541219" w:rsidRDefault="00000000">
            <w:pPr>
              <w:spacing w:after="0" w:line="254" w:lineRule="auto"/>
              <w:ind w:left="0" w:firstLine="0"/>
            </w:pPr>
            <w:r>
              <w:rPr>
                <w:sz w:val="7"/>
              </w:rPr>
              <w:t xml:space="preserve">Subcláusula Quinta– Para atender ao interesse público, mediante Lei autorizativa específica, o PODER CONCEDENTE poderá retomar o serviço, após prévio pagamento da indenização das parcelas dos </w:t>
            </w:r>
          </w:p>
          <w:p w14:paraId="119F1603" w14:textId="77777777" w:rsidR="00541219" w:rsidRDefault="00000000">
            <w:pPr>
              <w:spacing w:after="0"/>
              <w:ind w:left="0" w:firstLine="0"/>
              <w:jc w:val="both"/>
            </w:pPr>
            <w:r>
              <w:rPr>
                <w:sz w:val="7"/>
              </w:rPr>
              <w:t>investimentos vinculados a bens reversíveis, ainda não amortizados ou depreciados, que tenham sido realizados pela DISTRIBUIDORA para garantir a prestação do serviço público adequado.</w:t>
            </w:r>
          </w:p>
        </w:tc>
        <w:tc>
          <w:tcPr>
            <w:tcW w:w="0" w:type="auto"/>
            <w:gridSpan w:val="2"/>
            <w:vMerge/>
            <w:tcBorders>
              <w:top w:val="nil"/>
              <w:left w:val="single" w:sz="3" w:space="0" w:color="000000"/>
              <w:bottom w:val="nil"/>
              <w:right w:val="nil"/>
            </w:tcBorders>
          </w:tcPr>
          <w:p w14:paraId="1F1C3C3F" w14:textId="77777777" w:rsidR="00541219" w:rsidRDefault="00541219">
            <w:pPr>
              <w:spacing w:after="160"/>
              <w:ind w:left="0" w:firstLine="0"/>
            </w:pPr>
          </w:p>
        </w:tc>
      </w:tr>
      <w:tr w:rsidR="00541219" w14:paraId="7A2E58AD" w14:textId="77777777">
        <w:trPr>
          <w:trHeight w:val="365"/>
        </w:trPr>
        <w:tc>
          <w:tcPr>
            <w:tcW w:w="3727" w:type="dxa"/>
            <w:tcBorders>
              <w:top w:val="single" w:sz="3" w:space="0" w:color="000000"/>
              <w:left w:val="single" w:sz="3" w:space="0" w:color="000000"/>
              <w:bottom w:val="single" w:sz="3" w:space="0" w:color="000000"/>
              <w:right w:val="single" w:sz="3" w:space="0" w:color="000000"/>
            </w:tcBorders>
          </w:tcPr>
          <w:p w14:paraId="4606052C" w14:textId="77777777" w:rsidR="00541219" w:rsidRDefault="00000000">
            <w:pPr>
              <w:spacing w:after="0"/>
              <w:ind w:left="0" w:firstLine="0"/>
            </w:pPr>
            <w:r>
              <w:rPr>
                <w:sz w:val="7"/>
              </w:rPr>
              <w:t>Subcláusula Sexta – Havendo reversão dos bens vinculados ao serviço em virtude da extinção da concessão, esses deverão estar em condições adequadas de operação com as características e requisitos técnicos básicos, mantidas em acordo com revisões e regulação da ANEEL, que assegurem a continuidade do serviço público de distribuição.</w:t>
            </w:r>
          </w:p>
        </w:tc>
        <w:tc>
          <w:tcPr>
            <w:tcW w:w="0" w:type="auto"/>
            <w:gridSpan w:val="2"/>
            <w:vMerge/>
            <w:tcBorders>
              <w:top w:val="nil"/>
              <w:left w:val="single" w:sz="3" w:space="0" w:color="000000"/>
              <w:bottom w:val="nil"/>
              <w:right w:val="nil"/>
            </w:tcBorders>
          </w:tcPr>
          <w:p w14:paraId="70013A81" w14:textId="77777777" w:rsidR="00541219" w:rsidRDefault="00541219">
            <w:pPr>
              <w:spacing w:after="160"/>
              <w:ind w:left="0" w:firstLine="0"/>
            </w:pPr>
          </w:p>
        </w:tc>
      </w:tr>
      <w:tr w:rsidR="00541219" w14:paraId="2DAAA9C4" w14:textId="77777777">
        <w:trPr>
          <w:trHeight w:val="550"/>
        </w:trPr>
        <w:tc>
          <w:tcPr>
            <w:tcW w:w="3727" w:type="dxa"/>
            <w:tcBorders>
              <w:top w:val="single" w:sz="3" w:space="0" w:color="000000"/>
              <w:left w:val="single" w:sz="3" w:space="0" w:color="000000"/>
              <w:bottom w:val="single" w:sz="3" w:space="0" w:color="000000"/>
              <w:right w:val="single" w:sz="3" w:space="0" w:color="000000"/>
            </w:tcBorders>
          </w:tcPr>
          <w:p w14:paraId="5F0CE1C0" w14:textId="77777777" w:rsidR="00541219" w:rsidRDefault="00000000">
            <w:pPr>
              <w:spacing w:after="0"/>
              <w:ind w:left="0" w:firstLine="0"/>
            </w:pPr>
            <w:r>
              <w:rPr>
                <w:sz w:val="7"/>
              </w:rPr>
              <w:t>Subcláusula Sétima – Verificadas quaisquer hipóteses de inadimplemento suscetíveis à penalidade de caducidade previstas nas normas vigentes, especialmente em regulamentação específica da ANEEL e neste Termo Aditivo, a ANEEL instaurará processo administrativo para verificação das infrações e falhas, assegurado o contraditório e a ampla defesa à DISTRIBUIDORA, e poderá recomendar ao Poder Concedente a declaração de caducidade da concessão, que poderá adotar as seguintes medidas, além daquelas previstas na Lei 8.987, de 1995 e 12.783, de 2013:.</w:t>
            </w:r>
          </w:p>
        </w:tc>
        <w:tc>
          <w:tcPr>
            <w:tcW w:w="0" w:type="auto"/>
            <w:gridSpan w:val="2"/>
            <w:vMerge/>
            <w:tcBorders>
              <w:top w:val="nil"/>
              <w:left w:val="single" w:sz="3" w:space="0" w:color="000000"/>
              <w:bottom w:val="nil"/>
              <w:right w:val="nil"/>
            </w:tcBorders>
          </w:tcPr>
          <w:p w14:paraId="0C3D7B2A" w14:textId="77777777" w:rsidR="00541219" w:rsidRDefault="00541219">
            <w:pPr>
              <w:spacing w:after="160"/>
              <w:ind w:left="0" w:firstLine="0"/>
            </w:pPr>
          </w:p>
        </w:tc>
      </w:tr>
      <w:tr w:rsidR="00541219" w14:paraId="6564E586" w14:textId="77777777">
        <w:trPr>
          <w:trHeight w:val="91"/>
        </w:trPr>
        <w:tc>
          <w:tcPr>
            <w:tcW w:w="3727" w:type="dxa"/>
            <w:tcBorders>
              <w:top w:val="single" w:sz="3" w:space="0" w:color="000000"/>
              <w:left w:val="single" w:sz="3" w:space="0" w:color="000000"/>
              <w:bottom w:val="single" w:sz="3" w:space="0" w:color="000000"/>
              <w:right w:val="single" w:sz="3" w:space="0" w:color="000000"/>
            </w:tcBorders>
          </w:tcPr>
          <w:p w14:paraId="073F7DD4" w14:textId="77777777" w:rsidR="00541219" w:rsidRDefault="00000000">
            <w:pPr>
              <w:spacing w:after="0"/>
              <w:ind w:left="497" w:firstLine="0"/>
            </w:pPr>
            <w:r>
              <w:rPr>
                <w:sz w:val="7"/>
              </w:rPr>
              <w:t xml:space="preserve">     I – Deflagrar o processo de licitação da concessão;</w:t>
            </w:r>
          </w:p>
        </w:tc>
        <w:tc>
          <w:tcPr>
            <w:tcW w:w="0" w:type="auto"/>
            <w:gridSpan w:val="2"/>
            <w:vMerge/>
            <w:tcBorders>
              <w:top w:val="nil"/>
              <w:left w:val="single" w:sz="3" w:space="0" w:color="000000"/>
              <w:bottom w:val="nil"/>
              <w:right w:val="nil"/>
            </w:tcBorders>
          </w:tcPr>
          <w:p w14:paraId="29CAD548" w14:textId="77777777" w:rsidR="00541219" w:rsidRDefault="00541219">
            <w:pPr>
              <w:spacing w:after="160"/>
              <w:ind w:left="0" w:firstLine="0"/>
            </w:pPr>
          </w:p>
        </w:tc>
      </w:tr>
      <w:tr w:rsidR="00541219" w14:paraId="6606F77E"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6AC632A0" w14:textId="77777777" w:rsidR="00541219" w:rsidRDefault="00000000">
            <w:pPr>
              <w:spacing w:after="0"/>
              <w:ind w:left="497" w:firstLine="0"/>
            </w:pPr>
            <w:r>
              <w:rPr>
                <w:sz w:val="7"/>
              </w:rPr>
              <w:t xml:space="preserve">     II – Celebrar o Contrato de Concessão com o novo concessionário concomitantemente com a declaração de caducidade da concessão; e</w:t>
            </w:r>
          </w:p>
        </w:tc>
        <w:tc>
          <w:tcPr>
            <w:tcW w:w="0" w:type="auto"/>
            <w:gridSpan w:val="2"/>
            <w:vMerge/>
            <w:tcBorders>
              <w:top w:val="nil"/>
              <w:left w:val="single" w:sz="3" w:space="0" w:color="000000"/>
              <w:bottom w:val="nil"/>
              <w:right w:val="nil"/>
            </w:tcBorders>
          </w:tcPr>
          <w:p w14:paraId="50910202" w14:textId="77777777" w:rsidR="00541219" w:rsidRDefault="00541219">
            <w:pPr>
              <w:spacing w:after="160"/>
              <w:ind w:left="0" w:firstLine="0"/>
            </w:pPr>
          </w:p>
        </w:tc>
      </w:tr>
      <w:tr w:rsidR="00541219" w14:paraId="087BC47B" w14:textId="77777777">
        <w:trPr>
          <w:trHeight w:val="91"/>
        </w:trPr>
        <w:tc>
          <w:tcPr>
            <w:tcW w:w="3727" w:type="dxa"/>
            <w:tcBorders>
              <w:top w:val="single" w:sz="3" w:space="0" w:color="000000"/>
              <w:left w:val="single" w:sz="3" w:space="0" w:color="000000"/>
              <w:bottom w:val="single" w:sz="3" w:space="0" w:color="000000"/>
              <w:right w:val="single" w:sz="3" w:space="0" w:color="000000"/>
            </w:tcBorders>
          </w:tcPr>
          <w:p w14:paraId="345184C6" w14:textId="77777777" w:rsidR="00541219" w:rsidRDefault="00000000">
            <w:pPr>
              <w:spacing w:after="0"/>
              <w:ind w:left="497" w:firstLine="0"/>
            </w:pPr>
            <w:r>
              <w:rPr>
                <w:sz w:val="7"/>
              </w:rPr>
              <w:t xml:space="preserve">     III – Disciplinar uma fase de transição para a assunção do serviço pelo novo concessionário.</w:t>
            </w:r>
          </w:p>
        </w:tc>
        <w:tc>
          <w:tcPr>
            <w:tcW w:w="0" w:type="auto"/>
            <w:gridSpan w:val="2"/>
            <w:vMerge/>
            <w:tcBorders>
              <w:top w:val="nil"/>
              <w:left w:val="single" w:sz="3" w:space="0" w:color="000000"/>
              <w:bottom w:val="nil"/>
              <w:right w:val="nil"/>
            </w:tcBorders>
          </w:tcPr>
          <w:p w14:paraId="365F7E44" w14:textId="77777777" w:rsidR="00541219" w:rsidRDefault="00541219">
            <w:pPr>
              <w:spacing w:after="160"/>
              <w:ind w:left="0" w:firstLine="0"/>
            </w:pPr>
          </w:p>
        </w:tc>
      </w:tr>
      <w:tr w:rsidR="00541219" w14:paraId="0F1775AC"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0F2D6AFE" w14:textId="77777777" w:rsidR="00541219" w:rsidRDefault="00000000">
            <w:pPr>
              <w:spacing w:after="0"/>
              <w:ind w:left="497" w:firstLine="0"/>
            </w:pPr>
            <w:r>
              <w:rPr>
                <w:sz w:val="7"/>
              </w:rPr>
              <w:t>Parágrafo Primeiro – Para fins da preservação da continuidade da prestação do serviço público, a ANEEL poderá intervir na DISTRIBUIDORA até que o processo licitatório seja concluído.</w:t>
            </w:r>
          </w:p>
        </w:tc>
        <w:tc>
          <w:tcPr>
            <w:tcW w:w="0" w:type="auto"/>
            <w:gridSpan w:val="2"/>
            <w:vMerge/>
            <w:tcBorders>
              <w:top w:val="nil"/>
              <w:left w:val="single" w:sz="3" w:space="0" w:color="000000"/>
              <w:bottom w:val="nil"/>
              <w:right w:val="nil"/>
            </w:tcBorders>
          </w:tcPr>
          <w:p w14:paraId="5C6E509D" w14:textId="77777777" w:rsidR="00541219" w:rsidRDefault="00541219">
            <w:pPr>
              <w:spacing w:after="160"/>
              <w:ind w:left="0" w:firstLine="0"/>
            </w:pPr>
          </w:p>
        </w:tc>
      </w:tr>
      <w:tr w:rsidR="00541219" w14:paraId="4D857CF4" w14:textId="77777777">
        <w:trPr>
          <w:trHeight w:val="365"/>
        </w:trPr>
        <w:tc>
          <w:tcPr>
            <w:tcW w:w="3727" w:type="dxa"/>
            <w:tcBorders>
              <w:top w:val="single" w:sz="3" w:space="0" w:color="000000"/>
              <w:left w:val="single" w:sz="3" w:space="0" w:color="000000"/>
              <w:bottom w:val="single" w:sz="3" w:space="0" w:color="000000"/>
              <w:right w:val="single" w:sz="3" w:space="0" w:color="000000"/>
            </w:tcBorders>
          </w:tcPr>
          <w:p w14:paraId="120A0AC6" w14:textId="77777777" w:rsidR="00541219" w:rsidRDefault="00000000">
            <w:pPr>
              <w:spacing w:after="0"/>
              <w:ind w:left="497" w:firstLine="0"/>
            </w:pPr>
            <w:r>
              <w:rPr>
                <w:sz w:val="7"/>
              </w:rPr>
              <w:t>Parágrafo Segundo – Para fins da preservação da continuidade da prestação do serviço público, o Poder Concedente estabelecerá, a 36 meses do termo deste CONTRATO, as diretrizes para licitação do serviço público objeto deste CONTRATO, sendo que para a fase de transição, a distribuidora se compromete a manter a prestação do serviço adequado, particularmente a:</w:t>
            </w:r>
          </w:p>
        </w:tc>
        <w:tc>
          <w:tcPr>
            <w:tcW w:w="0" w:type="auto"/>
            <w:gridSpan w:val="2"/>
            <w:vMerge/>
            <w:tcBorders>
              <w:top w:val="nil"/>
              <w:left w:val="single" w:sz="3" w:space="0" w:color="000000"/>
              <w:bottom w:val="nil"/>
              <w:right w:val="nil"/>
            </w:tcBorders>
          </w:tcPr>
          <w:p w14:paraId="264C05C1" w14:textId="77777777" w:rsidR="00541219" w:rsidRDefault="00541219">
            <w:pPr>
              <w:spacing w:after="160"/>
              <w:ind w:left="0" w:firstLine="0"/>
            </w:pPr>
          </w:p>
        </w:tc>
      </w:tr>
      <w:tr w:rsidR="00541219" w14:paraId="1A631802"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15176D31" w14:textId="77777777" w:rsidR="00541219" w:rsidRDefault="00000000">
            <w:pPr>
              <w:spacing w:after="0"/>
              <w:ind w:left="497" w:firstLine="0"/>
            </w:pPr>
            <w:r>
              <w:rPr>
                <w:sz w:val="7"/>
              </w:rPr>
              <w:t xml:space="preserve">     a) manter a qualidade da prestação do serviço e a condição de sustentabilidade </w:t>
            </w:r>
            <w:proofErr w:type="gramStart"/>
            <w:r>
              <w:rPr>
                <w:sz w:val="7"/>
              </w:rPr>
              <w:t>econômico- financeira</w:t>
            </w:r>
            <w:proofErr w:type="gramEnd"/>
            <w:r>
              <w:rPr>
                <w:sz w:val="7"/>
              </w:rPr>
              <w:t>;</w:t>
            </w:r>
          </w:p>
        </w:tc>
        <w:tc>
          <w:tcPr>
            <w:tcW w:w="0" w:type="auto"/>
            <w:gridSpan w:val="2"/>
            <w:vMerge/>
            <w:tcBorders>
              <w:top w:val="nil"/>
              <w:left w:val="single" w:sz="3" w:space="0" w:color="000000"/>
              <w:bottom w:val="nil"/>
              <w:right w:val="nil"/>
            </w:tcBorders>
          </w:tcPr>
          <w:p w14:paraId="3EC4AE64" w14:textId="77777777" w:rsidR="00541219" w:rsidRDefault="00541219">
            <w:pPr>
              <w:spacing w:after="160"/>
              <w:ind w:left="0" w:firstLine="0"/>
            </w:pPr>
          </w:p>
        </w:tc>
      </w:tr>
      <w:tr w:rsidR="00541219" w14:paraId="5028907A" w14:textId="77777777">
        <w:trPr>
          <w:trHeight w:val="91"/>
        </w:trPr>
        <w:tc>
          <w:tcPr>
            <w:tcW w:w="3727" w:type="dxa"/>
            <w:tcBorders>
              <w:top w:val="single" w:sz="3" w:space="0" w:color="000000"/>
              <w:left w:val="single" w:sz="3" w:space="0" w:color="000000"/>
              <w:bottom w:val="single" w:sz="3" w:space="0" w:color="000000"/>
              <w:right w:val="single" w:sz="3" w:space="0" w:color="000000"/>
            </w:tcBorders>
          </w:tcPr>
          <w:p w14:paraId="669CCADB" w14:textId="77777777" w:rsidR="00541219" w:rsidRDefault="00000000">
            <w:pPr>
              <w:spacing w:after="0"/>
              <w:ind w:left="59" w:firstLine="0"/>
              <w:jc w:val="center"/>
            </w:pPr>
            <w:r>
              <w:rPr>
                <w:sz w:val="7"/>
              </w:rPr>
              <w:t xml:space="preserve">     b) dar amplo acesso às informações administrativas, comerciais e operacionais; e</w:t>
            </w:r>
          </w:p>
        </w:tc>
        <w:tc>
          <w:tcPr>
            <w:tcW w:w="0" w:type="auto"/>
            <w:gridSpan w:val="2"/>
            <w:vMerge/>
            <w:tcBorders>
              <w:top w:val="nil"/>
              <w:left w:val="single" w:sz="3" w:space="0" w:color="000000"/>
              <w:bottom w:val="nil"/>
              <w:right w:val="nil"/>
            </w:tcBorders>
          </w:tcPr>
          <w:p w14:paraId="281F345D" w14:textId="77777777" w:rsidR="00541219" w:rsidRDefault="00541219">
            <w:pPr>
              <w:spacing w:after="160"/>
              <w:ind w:left="0" w:firstLine="0"/>
            </w:pPr>
          </w:p>
        </w:tc>
      </w:tr>
      <w:tr w:rsidR="00541219" w14:paraId="4687C0D9" w14:textId="77777777">
        <w:trPr>
          <w:trHeight w:val="91"/>
        </w:trPr>
        <w:tc>
          <w:tcPr>
            <w:tcW w:w="3727" w:type="dxa"/>
            <w:tcBorders>
              <w:top w:val="single" w:sz="3" w:space="0" w:color="000000"/>
              <w:left w:val="single" w:sz="3" w:space="0" w:color="000000"/>
              <w:bottom w:val="single" w:sz="3" w:space="0" w:color="000000"/>
              <w:right w:val="single" w:sz="3" w:space="0" w:color="000000"/>
            </w:tcBorders>
          </w:tcPr>
          <w:p w14:paraId="3F3B771B" w14:textId="77777777" w:rsidR="00541219" w:rsidRDefault="00000000">
            <w:pPr>
              <w:spacing w:after="0"/>
              <w:ind w:left="0" w:right="67" w:firstLine="0"/>
              <w:jc w:val="right"/>
            </w:pPr>
            <w:r>
              <w:rPr>
                <w:sz w:val="7"/>
              </w:rPr>
              <w:t xml:space="preserve">     c) submeter-se a regulação específica da ANEEL para o período de encerramento contratual.</w:t>
            </w:r>
          </w:p>
        </w:tc>
        <w:tc>
          <w:tcPr>
            <w:tcW w:w="0" w:type="auto"/>
            <w:gridSpan w:val="2"/>
            <w:vMerge/>
            <w:tcBorders>
              <w:top w:val="nil"/>
              <w:left w:val="single" w:sz="3" w:space="0" w:color="000000"/>
              <w:bottom w:val="nil"/>
              <w:right w:val="nil"/>
            </w:tcBorders>
          </w:tcPr>
          <w:p w14:paraId="67551807" w14:textId="77777777" w:rsidR="00541219" w:rsidRDefault="00541219">
            <w:pPr>
              <w:spacing w:after="160"/>
              <w:ind w:left="0" w:firstLine="0"/>
            </w:pPr>
          </w:p>
        </w:tc>
      </w:tr>
      <w:tr w:rsidR="00541219" w14:paraId="3A7600CA" w14:textId="77777777">
        <w:trPr>
          <w:trHeight w:val="365"/>
        </w:trPr>
        <w:tc>
          <w:tcPr>
            <w:tcW w:w="3727" w:type="dxa"/>
            <w:tcBorders>
              <w:top w:val="single" w:sz="3" w:space="0" w:color="000000"/>
              <w:left w:val="single" w:sz="3" w:space="0" w:color="000000"/>
              <w:bottom w:val="single" w:sz="3" w:space="0" w:color="000000"/>
              <w:right w:val="single" w:sz="3" w:space="0" w:color="000000"/>
            </w:tcBorders>
          </w:tcPr>
          <w:p w14:paraId="60FE2BC8" w14:textId="77777777" w:rsidR="00541219" w:rsidRDefault="00000000">
            <w:pPr>
              <w:spacing w:after="0"/>
              <w:ind w:left="0" w:firstLine="0"/>
            </w:pPr>
            <w:r>
              <w:rPr>
                <w:sz w:val="7"/>
              </w:rPr>
              <w:t>Subcláusula Oitava – A DISTRIBUIDORA poderá apresentar plano de transferência do controle societário anteriormente à instauração pela ANEEL de processo administrativo em face do descumprimento das condições de prorrogação de que trata a Cláusula Décima Oitava, sem prejuízo ao disposto no art. 4o-C da Lei no 9.074, de 7 de julho de 1995, e observando que:</w:t>
            </w:r>
          </w:p>
        </w:tc>
        <w:tc>
          <w:tcPr>
            <w:tcW w:w="0" w:type="auto"/>
            <w:gridSpan w:val="2"/>
            <w:vMerge/>
            <w:tcBorders>
              <w:top w:val="nil"/>
              <w:left w:val="single" w:sz="3" w:space="0" w:color="000000"/>
              <w:bottom w:val="nil"/>
              <w:right w:val="nil"/>
            </w:tcBorders>
          </w:tcPr>
          <w:p w14:paraId="11E28787" w14:textId="77777777" w:rsidR="00541219" w:rsidRDefault="00541219">
            <w:pPr>
              <w:spacing w:after="160"/>
              <w:ind w:left="0" w:firstLine="0"/>
            </w:pPr>
          </w:p>
        </w:tc>
      </w:tr>
      <w:tr w:rsidR="00541219" w14:paraId="49F466DE"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5C090871" w14:textId="77777777" w:rsidR="00541219" w:rsidRDefault="00000000">
            <w:pPr>
              <w:spacing w:after="0"/>
              <w:ind w:left="497" w:firstLine="0"/>
            </w:pPr>
            <w:r>
              <w:rPr>
                <w:sz w:val="7"/>
              </w:rPr>
              <w:t xml:space="preserve">     I – O plano de transferência de controle societário deverá demonstrar a viabilidade da troca de controle e o benefício dessa medida para a adequação do serviço prestado;</w:t>
            </w:r>
          </w:p>
        </w:tc>
        <w:tc>
          <w:tcPr>
            <w:tcW w:w="0" w:type="auto"/>
            <w:gridSpan w:val="2"/>
            <w:vMerge/>
            <w:tcBorders>
              <w:top w:val="nil"/>
              <w:left w:val="single" w:sz="3" w:space="0" w:color="000000"/>
              <w:bottom w:val="nil"/>
              <w:right w:val="nil"/>
            </w:tcBorders>
          </w:tcPr>
          <w:p w14:paraId="6195C6B1" w14:textId="77777777" w:rsidR="00541219" w:rsidRDefault="00541219">
            <w:pPr>
              <w:spacing w:after="160"/>
              <w:ind w:left="0" w:firstLine="0"/>
            </w:pPr>
          </w:p>
        </w:tc>
      </w:tr>
      <w:tr w:rsidR="00541219" w14:paraId="7D0A4536"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401B2213" w14:textId="77777777" w:rsidR="00541219" w:rsidRDefault="00000000">
            <w:pPr>
              <w:spacing w:after="0"/>
              <w:ind w:left="497" w:firstLine="0"/>
            </w:pPr>
            <w:r>
              <w:rPr>
                <w:sz w:val="7"/>
              </w:rPr>
              <w:t xml:space="preserve">     II – A transferência de controle societário deverá ser concluída antes da instauração do processo de extinção da concessão; e</w:t>
            </w:r>
          </w:p>
        </w:tc>
        <w:tc>
          <w:tcPr>
            <w:tcW w:w="0" w:type="auto"/>
            <w:gridSpan w:val="2"/>
            <w:vMerge/>
            <w:tcBorders>
              <w:top w:val="nil"/>
              <w:left w:val="single" w:sz="3" w:space="0" w:color="000000"/>
              <w:bottom w:val="nil"/>
              <w:right w:val="nil"/>
            </w:tcBorders>
          </w:tcPr>
          <w:p w14:paraId="6BF6FB0E" w14:textId="77777777" w:rsidR="00541219" w:rsidRDefault="00541219">
            <w:pPr>
              <w:spacing w:after="160"/>
              <w:ind w:left="0" w:firstLine="0"/>
            </w:pPr>
          </w:p>
        </w:tc>
      </w:tr>
      <w:tr w:rsidR="00541219" w14:paraId="322F5063" w14:textId="77777777">
        <w:trPr>
          <w:trHeight w:val="365"/>
        </w:trPr>
        <w:tc>
          <w:tcPr>
            <w:tcW w:w="3727" w:type="dxa"/>
            <w:tcBorders>
              <w:top w:val="single" w:sz="3" w:space="0" w:color="000000"/>
              <w:left w:val="single" w:sz="3" w:space="0" w:color="000000"/>
              <w:bottom w:val="single" w:sz="3" w:space="0" w:color="000000"/>
              <w:right w:val="single" w:sz="3" w:space="0" w:color="000000"/>
            </w:tcBorders>
          </w:tcPr>
          <w:p w14:paraId="0E0E3603" w14:textId="77777777" w:rsidR="00541219" w:rsidRDefault="00000000">
            <w:pPr>
              <w:spacing w:after="0"/>
              <w:ind w:left="497" w:firstLine="0"/>
            </w:pPr>
            <w:r>
              <w:rPr>
                <w:sz w:val="7"/>
              </w:rPr>
              <w:t xml:space="preserve">     III – Verificado o não cumprimento do plano de transferência de controle societário pela DISTRIBUIDORA ou a sua não aprovação pela ANEEL, será dado seguimento ao processo de extinção da concessão e caberá à ANEEL instruir o processo e o encaminhar ao Ministério de Minas e Energia, com sua manifestação.</w:t>
            </w:r>
          </w:p>
        </w:tc>
        <w:tc>
          <w:tcPr>
            <w:tcW w:w="0" w:type="auto"/>
            <w:gridSpan w:val="2"/>
            <w:vMerge/>
            <w:tcBorders>
              <w:top w:val="nil"/>
              <w:left w:val="single" w:sz="3" w:space="0" w:color="000000"/>
              <w:bottom w:val="nil"/>
              <w:right w:val="nil"/>
            </w:tcBorders>
          </w:tcPr>
          <w:p w14:paraId="523ABB46" w14:textId="77777777" w:rsidR="00541219" w:rsidRDefault="00541219">
            <w:pPr>
              <w:spacing w:after="160"/>
              <w:ind w:left="0" w:firstLine="0"/>
            </w:pPr>
          </w:p>
        </w:tc>
      </w:tr>
      <w:tr w:rsidR="00541219" w14:paraId="241CCE53" w14:textId="77777777">
        <w:trPr>
          <w:trHeight w:val="458"/>
        </w:trPr>
        <w:tc>
          <w:tcPr>
            <w:tcW w:w="3727" w:type="dxa"/>
            <w:tcBorders>
              <w:top w:val="single" w:sz="3" w:space="0" w:color="000000"/>
              <w:left w:val="single" w:sz="3" w:space="0" w:color="000000"/>
              <w:bottom w:val="single" w:sz="3" w:space="0" w:color="000000"/>
              <w:right w:val="single" w:sz="3" w:space="0" w:color="000000"/>
            </w:tcBorders>
          </w:tcPr>
          <w:p w14:paraId="5C2BA547" w14:textId="77777777" w:rsidR="00541219" w:rsidRDefault="00000000">
            <w:pPr>
              <w:spacing w:after="0"/>
              <w:ind w:left="0" w:right="16" w:firstLine="0"/>
            </w:pPr>
            <w:r>
              <w:rPr>
                <w:sz w:val="7"/>
              </w:rPr>
              <w:t>Subcláusula Nona – Para efeito das indenizações tratadas nas Subcláusulas Segunda, Terceira, Quarta e Sexta desta Cláusula, o valor de indenização dos bens reversíveis será aquele resultante de inventário procedido pela ANEEL ou preposto especialmente designado, devendo seu pagamento ser realizado em conformidade com o disposto nas normas setoriais, depois de finalizado o processo administrativo e esgotados todos os prazos e instâncias de recurso.</w:t>
            </w:r>
          </w:p>
        </w:tc>
        <w:tc>
          <w:tcPr>
            <w:tcW w:w="0" w:type="auto"/>
            <w:gridSpan w:val="2"/>
            <w:vMerge/>
            <w:tcBorders>
              <w:top w:val="nil"/>
              <w:left w:val="single" w:sz="3" w:space="0" w:color="000000"/>
              <w:bottom w:val="nil"/>
              <w:right w:val="nil"/>
            </w:tcBorders>
          </w:tcPr>
          <w:p w14:paraId="1170814B" w14:textId="77777777" w:rsidR="00541219" w:rsidRDefault="00541219">
            <w:pPr>
              <w:spacing w:after="160"/>
              <w:ind w:left="0" w:firstLine="0"/>
            </w:pPr>
          </w:p>
        </w:tc>
      </w:tr>
      <w:tr w:rsidR="00541219" w14:paraId="615349D6"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002402D9" w14:textId="77777777" w:rsidR="00541219" w:rsidRDefault="00000000">
            <w:pPr>
              <w:spacing w:after="0"/>
              <w:ind w:left="0" w:firstLine="0"/>
            </w:pPr>
            <w:r>
              <w:rPr>
                <w:sz w:val="7"/>
              </w:rPr>
              <w:t>Subcláusula Décima – A declaração da caducidade não acarretará, para o PODER CONCEDENTE, qualquer responsabilidade em relação aos ônus, encargos ou compromissos com terceiros que tenham sido contratados pela DISTRIBUIDORA, ou em relação a seus empregados.</w:t>
            </w:r>
          </w:p>
        </w:tc>
        <w:tc>
          <w:tcPr>
            <w:tcW w:w="0" w:type="auto"/>
            <w:gridSpan w:val="2"/>
            <w:vMerge/>
            <w:tcBorders>
              <w:top w:val="nil"/>
              <w:left w:val="single" w:sz="3" w:space="0" w:color="000000"/>
              <w:bottom w:val="nil"/>
              <w:right w:val="nil"/>
            </w:tcBorders>
          </w:tcPr>
          <w:p w14:paraId="008DF742" w14:textId="77777777" w:rsidR="00541219" w:rsidRDefault="00541219">
            <w:pPr>
              <w:spacing w:after="160"/>
              <w:ind w:left="0" w:firstLine="0"/>
            </w:pPr>
          </w:p>
        </w:tc>
      </w:tr>
      <w:tr w:rsidR="00541219" w14:paraId="6167B5DB" w14:textId="77777777">
        <w:trPr>
          <w:trHeight w:val="458"/>
        </w:trPr>
        <w:tc>
          <w:tcPr>
            <w:tcW w:w="3727" w:type="dxa"/>
            <w:tcBorders>
              <w:top w:val="single" w:sz="3" w:space="0" w:color="000000"/>
              <w:left w:val="single" w:sz="3" w:space="0" w:color="000000"/>
              <w:bottom w:val="single" w:sz="3" w:space="0" w:color="000000"/>
              <w:right w:val="single" w:sz="3" w:space="0" w:color="000000"/>
            </w:tcBorders>
          </w:tcPr>
          <w:p w14:paraId="53447B0F" w14:textId="77777777" w:rsidR="00541219" w:rsidRDefault="00000000">
            <w:pPr>
              <w:spacing w:after="0"/>
              <w:ind w:left="0" w:firstLine="0"/>
            </w:pPr>
            <w:r>
              <w:rPr>
                <w:sz w:val="7"/>
              </w:rPr>
              <w:t>Subcláusula Décima Primeira – Alternativamente à declaração de caducidade, poderá o PODER CONCEDENTE restringir a área da concessão, promover a subconcessão ou desapropriar as ações que compõem o controle societário da DISTRIBUIDORA, mediante indenização. No caso de desapropriação, a indenização devida, na forma da Lei, se dará com recursos provenientes da alienação, em leilão público, das ações desapropriadas.</w:t>
            </w:r>
          </w:p>
        </w:tc>
        <w:tc>
          <w:tcPr>
            <w:tcW w:w="0" w:type="auto"/>
            <w:gridSpan w:val="2"/>
            <w:vMerge/>
            <w:tcBorders>
              <w:top w:val="nil"/>
              <w:left w:val="single" w:sz="3" w:space="0" w:color="000000"/>
              <w:bottom w:val="nil"/>
              <w:right w:val="nil"/>
            </w:tcBorders>
          </w:tcPr>
          <w:p w14:paraId="0531C538" w14:textId="77777777" w:rsidR="00541219" w:rsidRDefault="00541219">
            <w:pPr>
              <w:spacing w:after="160"/>
              <w:ind w:left="0" w:firstLine="0"/>
            </w:pPr>
          </w:p>
        </w:tc>
      </w:tr>
      <w:tr w:rsidR="00541219" w14:paraId="1D549F81" w14:textId="77777777">
        <w:trPr>
          <w:trHeight w:val="458"/>
        </w:trPr>
        <w:tc>
          <w:tcPr>
            <w:tcW w:w="3727" w:type="dxa"/>
            <w:tcBorders>
              <w:top w:val="single" w:sz="3" w:space="0" w:color="000000"/>
              <w:left w:val="single" w:sz="3" w:space="0" w:color="000000"/>
              <w:bottom w:val="single" w:sz="3" w:space="0" w:color="000000"/>
              <w:right w:val="single" w:sz="3" w:space="0" w:color="000000"/>
            </w:tcBorders>
          </w:tcPr>
          <w:p w14:paraId="62B87B75" w14:textId="77777777" w:rsidR="00541219" w:rsidRDefault="00000000">
            <w:pPr>
              <w:spacing w:after="0"/>
              <w:ind w:left="0" w:firstLine="0"/>
            </w:pPr>
            <w:r>
              <w:rPr>
                <w:sz w:val="7"/>
              </w:rPr>
              <w:t xml:space="preserve">Subcláusula Décima Segunda – Mediante ação judicial especialmente intentada para esse fim, poderá a </w:t>
            </w:r>
          </w:p>
          <w:p w14:paraId="5A651CBB" w14:textId="77777777" w:rsidR="00541219" w:rsidRDefault="00000000">
            <w:pPr>
              <w:spacing w:after="0"/>
              <w:ind w:left="0" w:firstLine="0"/>
            </w:pPr>
            <w:r>
              <w:rPr>
                <w:sz w:val="7"/>
              </w:rPr>
              <w:t xml:space="preserve">DISTRIBUIDORA promover a rescisão deste CONTRATO, no caso de descumprimento, pelo PODER </w:t>
            </w:r>
          </w:p>
          <w:p w14:paraId="740C1AFB" w14:textId="77777777" w:rsidR="00541219" w:rsidRDefault="00000000">
            <w:pPr>
              <w:spacing w:after="0" w:line="254" w:lineRule="auto"/>
              <w:ind w:left="0" w:firstLine="0"/>
              <w:jc w:val="both"/>
            </w:pPr>
            <w:r>
              <w:rPr>
                <w:sz w:val="7"/>
              </w:rPr>
              <w:t xml:space="preserve">CONCEDENTE, das normas aqui estabelecidas. Nesta hipótese, a DISTRIBUIDORA não poderá interromper a prestação do serviço enquanto não transitar em julgado a decisão judicial que decretar a extinção deste </w:t>
            </w:r>
          </w:p>
          <w:p w14:paraId="0F74025A" w14:textId="77777777" w:rsidR="00541219" w:rsidRDefault="00000000">
            <w:pPr>
              <w:spacing w:after="0"/>
              <w:ind w:left="0" w:firstLine="0"/>
            </w:pPr>
            <w:r>
              <w:rPr>
                <w:sz w:val="7"/>
              </w:rPr>
              <w:t>CONTRATO.</w:t>
            </w:r>
          </w:p>
        </w:tc>
        <w:tc>
          <w:tcPr>
            <w:tcW w:w="0" w:type="auto"/>
            <w:gridSpan w:val="2"/>
            <w:vMerge/>
            <w:tcBorders>
              <w:top w:val="nil"/>
              <w:left w:val="single" w:sz="3" w:space="0" w:color="000000"/>
              <w:bottom w:val="single" w:sz="3" w:space="0" w:color="000000"/>
              <w:right w:val="nil"/>
            </w:tcBorders>
          </w:tcPr>
          <w:p w14:paraId="708AF136" w14:textId="77777777" w:rsidR="00541219" w:rsidRDefault="00541219">
            <w:pPr>
              <w:spacing w:after="160"/>
              <w:ind w:left="0" w:firstLine="0"/>
            </w:pPr>
          </w:p>
        </w:tc>
      </w:tr>
      <w:tr w:rsidR="00541219" w14:paraId="7D63A0F1" w14:textId="77777777">
        <w:trPr>
          <w:trHeight w:val="754"/>
        </w:trPr>
        <w:tc>
          <w:tcPr>
            <w:tcW w:w="3727" w:type="dxa"/>
            <w:tcBorders>
              <w:top w:val="single" w:sz="3" w:space="0" w:color="000000"/>
              <w:left w:val="single" w:sz="3" w:space="0" w:color="000000"/>
              <w:bottom w:val="single" w:sz="3" w:space="0" w:color="000000"/>
              <w:right w:val="single" w:sz="3" w:space="0" w:color="000000"/>
            </w:tcBorders>
            <w:vAlign w:val="center"/>
          </w:tcPr>
          <w:p w14:paraId="5277C724" w14:textId="77777777" w:rsidR="00541219" w:rsidRDefault="00000000">
            <w:pPr>
              <w:spacing w:after="0"/>
              <w:ind w:left="0" w:right="9" w:firstLine="0"/>
            </w:pPr>
            <w:r>
              <w:rPr>
                <w:sz w:val="7"/>
              </w:rPr>
              <w:t xml:space="preserve">Subcláusula Décima Terceira – O descumprimento pela DISTRIBUIDORA, por dois anos consecutivos dos critérios de eficiência com relação à continuidade do fornecimento ou à gestão </w:t>
            </w:r>
            <w:proofErr w:type="gramStart"/>
            <w:r>
              <w:rPr>
                <w:sz w:val="7"/>
              </w:rPr>
              <w:t>econômico- financeira</w:t>
            </w:r>
            <w:proofErr w:type="gramEnd"/>
            <w:r>
              <w:rPr>
                <w:sz w:val="7"/>
              </w:rPr>
              <w:t>, implicará a abertura do processo de caducidade, conforme regulação da ANEEL, respeitadas as disposições deste CONTRATO, particularmente o direito à ampla defesa e ao contraditório.</w:t>
            </w:r>
          </w:p>
        </w:tc>
        <w:tc>
          <w:tcPr>
            <w:tcW w:w="3041" w:type="dxa"/>
            <w:tcBorders>
              <w:top w:val="single" w:sz="3" w:space="0" w:color="000000"/>
              <w:left w:val="single" w:sz="3" w:space="0" w:color="000000"/>
              <w:bottom w:val="single" w:sz="3" w:space="0" w:color="000000"/>
              <w:right w:val="single" w:sz="3" w:space="0" w:color="000000"/>
            </w:tcBorders>
          </w:tcPr>
          <w:p w14:paraId="581FA185" w14:textId="77777777" w:rsidR="00541219" w:rsidRDefault="00000000" w:rsidP="008E3408">
            <w:pPr>
              <w:spacing w:after="0"/>
              <w:ind w:left="5" w:firstLine="0"/>
              <w:jc w:val="both"/>
            </w:pPr>
            <w:r>
              <w:t>O descumprimento pela DISTRIBUIDORA, por dois anos consecutivos dos critérios de eficiência com relação à continuidade do fornecimento</w:t>
            </w:r>
            <w:r>
              <w:rPr>
                <w:color w:val="FF0000"/>
              </w:rPr>
              <w:t xml:space="preserve">, ao atendimento às novas conexões </w:t>
            </w:r>
            <w:r>
              <w:t>ou à gestão econômico-financeira, implicará a abertura do processo de caducidade, conforme regulação da ANEEL, respeitadas as disposições deste CONTRATO, particularmente o direito à ampla defesa e ao contraditório.</w:t>
            </w:r>
          </w:p>
        </w:tc>
        <w:tc>
          <w:tcPr>
            <w:tcW w:w="3473" w:type="dxa"/>
            <w:tcBorders>
              <w:top w:val="single" w:sz="3" w:space="0" w:color="000000"/>
              <w:left w:val="single" w:sz="3" w:space="0" w:color="000000"/>
              <w:bottom w:val="single" w:sz="3" w:space="0" w:color="000000"/>
              <w:right w:val="single" w:sz="3" w:space="0" w:color="000000"/>
            </w:tcBorders>
          </w:tcPr>
          <w:p w14:paraId="5084454E" w14:textId="77777777" w:rsidR="00541219" w:rsidRDefault="00000000" w:rsidP="008E3408">
            <w:pPr>
              <w:spacing w:after="0"/>
              <w:ind w:left="5" w:firstLine="0"/>
              <w:jc w:val="both"/>
            </w:pPr>
            <w:r>
              <w:t>Uma das funções básicas da Distribuidora é o atendimento às novas conexões para garantir a todos os habitantes do Estado o direto à energia para sua residência ou empreendimentos, ocorre que esse tema tem sido constantemente negligenciado com atraso de atendimento às novas conexões por mais de anos. A distribuidora que não tem compromisso com o atendimento da expansão do seu próprio mercado não tem como continuar com a concessão.</w:t>
            </w:r>
          </w:p>
        </w:tc>
      </w:tr>
      <w:tr w:rsidR="00541219" w14:paraId="1A686B0A" w14:textId="77777777">
        <w:trPr>
          <w:trHeight w:val="365"/>
        </w:trPr>
        <w:tc>
          <w:tcPr>
            <w:tcW w:w="3727" w:type="dxa"/>
            <w:tcBorders>
              <w:top w:val="single" w:sz="3" w:space="0" w:color="000000"/>
              <w:left w:val="single" w:sz="3" w:space="0" w:color="000000"/>
              <w:bottom w:val="single" w:sz="3" w:space="0" w:color="000000"/>
              <w:right w:val="single" w:sz="3" w:space="0" w:color="000000"/>
            </w:tcBorders>
          </w:tcPr>
          <w:p w14:paraId="7222350F" w14:textId="77777777" w:rsidR="00541219" w:rsidRDefault="00000000">
            <w:pPr>
              <w:spacing w:after="0"/>
              <w:ind w:left="0" w:firstLine="0"/>
            </w:pPr>
            <w:r>
              <w:rPr>
                <w:sz w:val="7"/>
              </w:rPr>
              <w:t>Parágrafo Primeiro – A ANEEL estabelecerá os indicadores de que trata o caput desta Subcláusula, sendo que, para o critério econômico-financeiro, observar-se-á, dentre outros, a necessidade de LAJIDA positivo, de capacidade de realização de investimentos mínimos, de gerenciamento da dívida e da possibilidade de cumprimento por meio de aporte de capital, conforme regulação da ANEEL.</w:t>
            </w:r>
          </w:p>
        </w:tc>
        <w:tc>
          <w:tcPr>
            <w:tcW w:w="6514" w:type="dxa"/>
            <w:gridSpan w:val="2"/>
            <w:vMerge w:val="restart"/>
            <w:tcBorders>
              <w:top w:val="single" w:sz="3" w:space="0" w:color="000000"/>
              <w:left w:val="single" w:sz="3" w:space="0" w:color="000000"/>
              <w:bottom w:val="nil"/>
              <w:right w:val="nil"/>
            </w:tcBorders>
          </w:tcPr>
          <w:p w14:paraId="255A75DD" w14:textId="77777777" w:rsidR="00541219" w:rsidRDefault="00000000">
            <w:pPr>
              <w:spacing w:after="0"/>
              <w:ind w:left="0" w:right="360" w:firstLine="0"/>
              <w:jc w:val="center"/>
            </w:pPr>
            <w:r>
              <w:t xml:space="preserve"> </w:t>
            </w:r>
          </w:p>
        </w:tc>
      </w:tr>
      <w:tr w:rsidR="00541219" w14:paraId="622DB31A" w14:textId="77777777">
        <w:trPr>
          <w:trHeight w:val="365"/>
        </w:trPr>
        <w:tc>
          <w:tcPr>
            <w:tcW w:w="3727" w:type="dxa"/>
            <w:tcBorders>
              <w:top w:val="single" w:sz="3" w:space="0" w:color="000000"/>
              <w:left w:val="single" w:sz="3" w:space="0" w:color="000000"/>
              <w:bottom w:val="single" w:sz="3" w:space="0" w:color="000000"/>
              <w:right w:val="single" w:sz="3" w:space="0" w:color="000000"/>
            </w:tcBorders>
          </w:tcPr>
          <w:p w14:paraId="32DF2A9C" w14:textId="77777777" w:rsidR="00541219" w:rsidRDefault="00000000">
            <w:pPr>
              <w:spacing w:after="0"/>
              <w:ind w:left="0" w:firstLine="0"/>
            </w:pPr>
            <w:r>
              <w:rPr>
                <w:sz w:val="7"/>
              </w:rPr>
              <w:t>Parágrafo Segundo – A ANEEL poderá definir critérios adicionais ou requisitos mais restritivos que impliquem a abertura de processo de caducidade, com vistas a propiciar que a DISTRIBUIDORA preste o serviço público de distribuição de energia elétrica de forma compatível com a realidade tecnológica, regulatória e comercial do setor elétrico durante toda a vigência do contrato de concessão.</w:t>
            </w:r>
          </w:p>
        </w:tc>
        <w:tc>
          <w:tcPr>
            <w:tcW w:w="0" w:type="auto"/>
            <w:gridSpan w:val="2"/>
            <w:vMerge/>
            <w:tcBorders>
              <w:top w:val="nil"/>
              <w:left w:val="single" w:sz="3" w:space="0" w:color="000000"/>
              <w:bottom w:val="nil"/>
              <w:right w:val="nil"/>
            </w:tcBorders>
          </w:tcPr>
          <w:p w14:paraId="3672838E" w14:textId="77777777" w:rsidR="00541219" w:rsidRDefault="00541219">
            <w:pPr>
              <w:spacing w:after="160"/>
              <w:ind w:left="0" w:firstLine="0"/>
            </w:pPr>
          </w:p>
        </w:tc>
      </w:tr>
      <w:tr w:rsidR="00541219" w14:paraId="525FFF7D" w14:textId="77777777">
        <w:trPr>
          <w:trHeight w:val="365"/>
        </w:trPr>
        <w:tc>
          <w:tcPr>
            <w:tcW w:w="3727" w:type="dxa"/>
            <w:tcBorders>
              <w:top w:val="single" w:sz="3" w:space="0" w:color="000000"/>
              <w:left w:val="single" w:sz="3" w:space="0" w:color="000000"/>
              <w:bottom w:val="single" w:sz="3" w:space="0" w:color="000000"/>
              <w:right w:val="single" w:sz="3" w:space="0" w:color="000000"/>
            </w:tcBorders>
          </w:tcPr>
          <w:p w14:paraId="0E3CE874" w14:textId="77777777" w:rsidR="00541219" w:rsidRDefault="00000000">
            <w:pPr>
              <w:spacing w:after="0" w:line="254" w:lineRule="auto"/>
              <w:ind w:left="0" w:firstLine="0"/>
            </w:pPr>
            <w:r>
              <w:rPr>
                <w:sz w:val="7"/>
              </w:rPr>
              <w:t xml:space="preserve">Parágrafo Terceiro – A aplicação do disposto no Parágrafo Segundo deverá ser precedida de processo de consulta pública, elaboração de análise de impacto regulatório e carência mínima de três anos para início da vigência da apuração de qualquer critério adicional ou requisito mais restritivo que venha a ser definido pela </w:t>
            </w:r>
          </w:p>
          <w:p w14:paraId="51AE7538" w14:textId="77777777" w:rsidR="00541219" w:rsidRDefault="00000000">
            <w:pPr>
              <w:spacing w:after="0"/>
              <w:ind w:left="0" w:firstLine="0"/>
            </w:pPr>
            <w:r>
              <w:rPr>
                <w:sz w:val="7"/>
              </w:rPr>
              <w:t>ANEEL.</w:t>
            </w:r>
          </w:p>
        </w:tc>
        <w:tc>
          <w:tcPr>
            <w:tcW w:w="0" w:type="auto"/>
            <w:gridSpan w:val="2"/>
            <w:vMerge/>
            <w:tcBorders>
              <w:top w:val="nil"/>
              <w:left w:val="single" w:sz="3" w:space="0" w:color="000000"/>
              <w:bottom w:val="nil"/>
              <w:right w:val="nil"/>
            </w:tcBorders>
          </w:tcPr>
          <w:p w14:paraId="2CD3BF56" w14:textId="77777777" w:rsidR="00541219" w:rsidRDefault="00541219">
            <w:pPr>
              <w:spacing w:after="160"/>
              <w:ind w:left="0" w:firstLine="0"/>
            </w:pPr>
          </w:p>
        </w:tc>
      </w:tr>
      <w:tr w:rsidR="00541219" w14:paraId="4F88FD67" w14:textId="77777777">
        <w:trPr>
          <w:trHeight w:val="226"/>
        </w:trPr>
        <w:tc>
          <w:tcPr>
            <w:tcW w:w="3727" w:type="dxa"/>
            <w:tcBorders>
              <w:top w:val="single" w:sz="3" w:space="0" w:color="000000"/>
              <w:left w:val="single" w:sz="3" w:space="0" w:color="000000"/>
              <w:bottom w:val="single" w:sz="3" w:space="0" w:color="000000"/>
              <w:right w:val="single" w:sz="3" w:space="0" w:color="000000"/>
            </w:tcBorders>
            <w:shd w:val="clear" w:color="auto" w:fill="CFE2F3"/>
          </w:tcPr>
          <w:p w14:paraId="47D92F8F" w14:textId="77777777" w:rsidR="00541219" w:rsidRDefault="00000000">
            <w:pPr>
              <w:spacing w:after="2"/>
              <w:ind w:left="2" w:firstLine="0"/>
            </w:pPr>
            <w:r>
              <w:t xml:space="preserve">CLÁUSULA DÉCIMA TERCEIRA – COMPROMISSOS DO(S) SÓCIO(S) </w:t>
            </w:r>
          </w:p>
          <w:p w14:paraId="72024FEC" w14:textId="77777777" w:rsidR="00541219" w:rsidRDefault="00000000">
            <w:pPr>
              <w:spacing w:after="0"/>
              <w:ind w:left="2" w:firstLine="0"/>
            </w:pPr>
            <w:r>
              <w:t>CONTROLADOR(ES) SOCIETÁRIO(S)</w:t>
            </w:r>
          </w:p>
        </w:tc>
        <w:tc>
          <w:tcPr>
            <w:tcW w:w="0" w:type="auto"/>
            <w:gridSpan w:val="2"/>
            <w:vMerge/>
            <w:tcBorders>
              <w:top w:val="nil"/>
              <w:left w:val="single" w:sz="3" w:space="0" w:color="000000"/>
              <w:bottom w:val="nil"/>
              <w:right w:val="nil"/>
            </w:tcBorders>
          </w:tcPr>
          <w:p w14:paraId="5DC0FBCE" w14:textId="77777777" w:rsidR="00541219" w:rsidRDefault="00541219">
            <w:pPr>
              <w:spacing w:after="160"/>
              <w:ind w:left="0" w:firstLine="0"/>
            </w:pPr>
          </w:p>
        </w:tc>
      </w:tr>
      <w:tr w:rsidR="00541219" w14:paraId="24E2C4C9"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556E4404" w14:textId="77777777" w:rsidR="00541219" w:rsidRDefault="00000000">
            <w:pPr>
              <w:spacing w:after="0"/>
              <w:ind w:left="0" w:right="14" w:firstLine="0"/>
            </w:pPr>
            <w:r>
              <w:rPr>
                <w:sz w:val="7"/>
              </w:rPr>
              <w:t>O(s) SÓCIO(S) CONTROLADOR(ES) obriga(m)-se a não transferir, ceder ou de qualquer forma alienar, direta ou indiretamente, gratuita ou onerosamente, as ações que fazem parte do grupo de controle, sem a prévia concordância da ANEEL.</w:t>
            </w:r>
          </w:p>
        </w:tc>
        <w:tc>
          <w:tcPr>
            <w:tcW w:w="0" w:type="auto"/>
            <w:gridSpan w:val="2"/>
            <w:vMerge/>
            <w:tcBorders>
              <w:top w:val="nil"/>
              <w:left w:val="single" w:sz="3" w:space="0" w:color="000000"/>
              <w:bottom w:val="nil"/>
              <w:right w:val="nil"/>
            </w:tcBorders>
          </w:tcPr>
          <w:p w14:paraId="02342101" w14:textId="77777777" w:rsidR="00541219" w:rsidRDefault="00541219">
            <w:pPr>
              <w:spacing w:after="160"/>
              <w:ind w:left="0" w:firstLine="0"/>
            </w:pPr>
          </w:p>
        </w:tc>
      </w:tr>
      <w:tr w:rsidR="00541219" w14:paraId="56435D3B" w14:textId="77777777">
        <w:trPr>
          <w:trHeight w:val="458"/>
        </w:trPr>
        <w:tc>
          <w:tcPr>
            <w:tcW w:w="3727" w:type="dxa"/>
            <w:tcBorders>
              <w:top w:val="single" w:sz="3" w:space="0" w:color="000000"/>
              <w:left w:val="single" w:sz="3" w:space="0" w:color="000000"/>
              <w:bottom w:val="single" w:sz="3" w:space="0" w:color="000000"/>
              <w:right w:val="single" w:sz="3" w:space="0" w:color="000000"/>
            </w:tcBorders>
          </w:tcPr>
          <w:p w14:paraId="2AA406F3" w14:textId="77777777" w:rsidR="00541219" w:rsidRDefault="00000000">
            <w:pPr>
              <w:spacing w:after="0"/>
              <w:ind w:left="0" w:firstLine="0"/>
            </w:pPr>
            <w:r>
              <w:rPr>
                <w:sz w:val="7"/>
              </w:rPr>
              <w:t>Subcláusula Primeira – O(s) SÓCIO(S) CONTROLADOR(ES) declara(m) aceitar e submeter-se, sem qualquer ressalva, às condições deste CONTRATO, obrigando-se a manter nos atos constitutivos da DISTRIBUIDORA disposição no sentido de não transferir, ceder ou, de qualquer forma, alienar, direta ou indiretamente, gratuita ou onerosamente, as ações que fazem parte do bloco de controle acionário sem a prévia anuência da ANEEL.</w:t>
            </w:r>
          </w:p>
        </w:tc>
        <w:tc>
          <w:tcPr>
            <w:tcW w:w="0" w:type="auto"/>
            <w:gridSpan w:val="2"/>
            <w:vMerge/>
            <w:tcBorders>
              <w:top w:val="nil"/>
              <w:left w:val="single" w:sz="3" w:space="0" w:color="000000"/>
              <w:bottom w:val="nil"/>
              <w:right w:val="nil"/>
            </w:tcBorders>
          </w:tcPr>
          <w:p w14:paraId="71AB5E08" w14:textId="77777777" w:rsidR="00541219" w:rsidRDefault="00541219">
            <w:pPr>
              <w:spacing w:after="160"/>
              <w:ind w:left="0" w:firstLine="0"/>
            </w:pPr>
          </w:p>
        </w:tc>
      </w:tr>
      <w:tr w:rsidR="00541219" w14:paraId="7721E83A" w14:textId="77777777">
        <w:trPr>
          <w:trHeight w:val="365"/>
        </w:trPr>
        <w:tc>
          <w:tcPr>
            <w:tcW w:w="3727" w:type="dxa"/>
            <w:tcBorders>
              <w:top w:val="single" w:sz="3" w:space="0" w:color="000000"/>
              <w:left w:val="single" w:sz="3" w:space="0" w:color="000000"/>
              <w:bottom w:val="single" w:sz="3" w:space="0" w:color="000000"/>
              <w:right w:val="single" w:sz="3" w:space="0" w:color="000000"/>
            </w:tcBorders>
          </w:tcPr>
          <w:p w14:paraId="715C71E1" w14:textId="77777777" w:rsidR="00541219" w:rsidRDefault="00000000">
            <w:pPr>
              <w:spacing w:after="0"/>
              <w:ind w:left="0" w:right="39" w:firstLine="0"/>
              <w:jc w:val="both"/>
            </w:pPr>
            <w:r>
              <w:rPr>
                <w:sz w:val="7"/>
              </w:rPr>
              <w:t>Subcláusula Segunda – A transferência, integral ou parcial, de ações ou quotas que resultem em um novo controlador, só será reconhecida pela ANEEL quando o(s) novo(s) SÓCIO(S) CONTROLADOR(ES) assinar(em) termo de anuência e submissão às condições deste CONTRATO e às normas legais e regulamentares da concessão.</w:t>
            </w:r>
          </w:p>
        </w:tc>
        <w:tc>
          <w:tcPr>
            <w:tcW w:w="0" w:type="auto"/>
            <w:gridSpan w:val="2"/>
            <w:vMerge/>
            <w:tcBorders>
              <w:top w:val="nil"/>
              <w:left w:val="single" w:sz="3" w:space="0" w:color="000000"/>
              <w:bottom w:val="nil"/>
              <w:right w:val="nil"/>
            </w:tcBorders>
          </w:tcPr>
          <w:p w14:paraId="0289AF97" w14:textId="77777777" w:rsidR="00541219" w:rsidRDefault="00541219">
            <w:pPr>
              <w:spacing w:after="160"/>
              <w:ind w:left="0" w:firstLine="0"/>
            </w:pPr>
          </w:p>
        </w:tc>
      </w:tr>
      <w:tr w:rsidR="00541219" w14:paraId="78A942EF"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6AD6F800" w14:textId="77777777" w:rsidR="00541219" w:rsidRDefault="00000000">
            <w:pPr>
              <w:spacing w:after="0"/>
              <w:ind w:left="0" w:firstLine="0"/>
            </w:pPr>
            <w:r>
              <w:rPr>
                <w:sz w:val="7"/>
              </w:rPr>
              <w:t>Subcláusula Terceira – O(s) SÓCIO(S) CONTROLADOR(ES) assina(m) o presente TERMO ADITIVO como interveniente(s) e garantidor(es) das obrigações e encargos ora estabelecidos.</w:t>
            </w:r>
          </w:p>
        </w:tc>
        <w:tc>
          <w:tcPr>
            <w:tcW w:w="0" w:type="auto"/>
            <w:gridSpan w:val="2"/>
            <w:vMerge/>
            <w:tcBorders>
              <w:top w:val="nil"/>
              <w:left w:val="single" w:sz="3" w:space="0" w:color="000000"/>
              <w:bottom w:val="nil"/>
              <w:right w:val="nil"/>
            </w:tcBorders>
          </w:tcPr>
          <w:p w14:paraId="53F4FD61" w14:textId="77777777" w:rsidR="00541219" w:rsidRDefault="00541219">
            <w:pPr>
              <w:spacing w:after="160"/>
              <w:ind w:left="0" w:firstLine="0"/>
            </w:pPr>
          </w:p>
        </w:tc>
      </w:tr>
      <w:tr w:rsidR="00541219" w14:paraId="0400D403" w14:textId="77777777">
        <w:trPr>
          <w:trHeight w:val="697"/>
        </w:trPr>
        <w:tc>
          <w:tcPr>
            <w:tcW w:w="3727" w:type="dxa"/>
            <w:tcBorders>
              <w:top w:val="single" w:sz="3" w:space="0" w:color="000000"/>
              <w:left w:val="single" w:sz="3" w:space="0" w:color="000000"/>
              <w:bottom w:val="double" w:sz="3" w:space="0" w:color="000000"/>
              <w:right w:val="single" w:sz="3" w:space="0" w:color="000000"/>
            </w:tcBorders>
          </w:tcPr>
          <w:p w14:paraId="1079BCB8" w14:textId="77777777" w:rsidR="00541219" w:rsidRDefault="00000000">
            <w:pPr>
              <w:spacing w:after="0" w:line="254" w:lineRule="auto"/>
              <w:ind w:left="0" w:firstLine="0"/>
            </w:pPr>
            <w:r>
              <w:rPr>
                <w:sz w:val="7"/>
              </w:rPr>
              <w:lastRenderedPageBreak/>
              <w:t xml:space="preserve">Subcláusula Quarta –O(s) SÓCIO(S) CONTROLADOR(ES) se compromete(m) a observar a regulação da ANEEL para controladores de concessionárias de serviço público, compreendendo mas não se limitando a diretrizes sobre divulgação de informações, gestão de riscos e suporte a decisões de longo prazo, sendo que, no que tange à divulgação de informações, serão respeitados os regulamentos e normas de divulgação do mercado de capitais aplicáveis à DISTRIBUIDORA ou a seu(s) SÓCIO(S) CONTROLADOR(ES) conforme o caso, no </w:t>
            </w:r>
          </w:p>
          <w:p w14:paraId="294995EB" w14:textId="77777777" w:rsidR="00541219" w:rsidRDefault="00000000">
            <w:pPr>
              <w:spacing w:after="0"/>
              <w:ind w:left="0" w:firstLine="0"/>
            </w:pPr>
            <w:r>
              <w:rPr>
                <w:sz w:val="7"/>
              </w:rPr>
              <w:t>Brasil e no exterior, nos casos de empresas com títulos comercializados em mercados de capitais fora do Brasil.</w:t>
            </w:r>
          </w:p>
        </w:tc>
        <w:tc>
          <w:tcPr>
            <w:tcW w:w="0" w:type="auto"/>
            <w:gridSpan w:val="2"/>
            <w:vMerge/>
            <w:tcBorders>
              <w:top w:val="nil"/>
              <w:left w:val="single" w:sz="3" w:space="0" w:color="000000"/>
              <w:bottom w:val="nil"/>
              <w:right w:val="nil"/>
            </w:tcBorders>
          </w:tcPr>
          <w:p w14:paraId="07091F42" w14:textId="77777777" w:rsidR="00541219" w:rsidRDefault="00541219">
            <w:pPr>
              <w:spacing w:after="160"/>
              <w:ind w:left="0" w:firstLine="0"/>
            </w:pPr>
          </w:p>
        </w:tc>
      </w:tr>
    </w:tbl>
    <w:p w14:paraId="2ED230F0" w14:textId="77777777" w:rsidR="00541219" w:rsidRDefault="00000000">
      <w:pPr>
        <w:ind w:left="-672"/>
      </w:pPr>
      <w:r>
        <w:t>CLÁUSULA DECIMA QUARTA – CONSULTA AOS USUÁRIOS</w:t>
      </w:r>
    </w:p>
    <w:p w14:paraId="50AC235B" w14:textId="77777777" w:rsidR="00541219" w:rsidRDefault="00541219">
      <w:pPr>
        <w:spacing w:after="0"/>
        <w:ind w:left="-1440" w:right="8527" w:firstLine="0"/>
      </w:pPr>
    </w:p>
    <w:tbl>
      <w:tblPr>
        <w:tblStyle w:val="TableGrid"/>
        <w:tblW w:w="10240" w:type="dxa"/>
        <w:tblInd w:w="-688" w:type="dxa"/>
        <w:tblCellMar>
          <w:top w:w="0" w:type="dxa"/>
          <w:left w:w="19" w:type="dxa"/>
          <w:bottom w:w="0" w:type="dxa"/>
          <w:right w:w="18" w:type="dxa"/>
        </w:tblCellMar>
        <w:tblLook w:val="04A0" w:firstRow="1" w:lastRow="0" w:firstColumn="1" w:lastColumn="0" w:noHBand="0" w:noVBand="1"/>
      </w:tblPr>
      <w:tblGrid>
        <w:gridCol w:w="3726"/>
        <w:gridCol w:w="3041"/>
        <w:gridCol w:w="3473"/>
      </w:tblGrid>
      <w:tr w:rsidR="00541219" w14:paraId="6B62F9AA" w14:textId="77777777">
        <w:trPr>
          <w:trHeight w:val="145"/>
        </w:trPr>
        <w:tc>
          <w:tcPr>
            <w:tcW w:w="10240" w:type="dxa"/>
            <w:gridSpan w:val="3"/>
            <w:tcBorders>
              <w:top w:val="single" w:sz="6" w:space="0" w:color="000000"/>
              <w:left w:val="single" w:sz="6" w:space="0" w:color="000000"/>
              <w:bottom w:val="single" w:sz="3" w:space="0" w:color="000000"/>
              <w:right w:val="single" w:sz="6" w:space="0" w:color="000000"/>
            </w:tcBorders>
          </w:tcPr>
          <w:p w14:paraId="76D52E6D" w14:textId="77777777" w:rsidR="00541219" w:rsidRDefault="00000000">
            <w:pPr>
              <w:spacing w:after="0"/>
              <w:ind w:left="14" w:firstLine="0"/>
              <w:jc w:val="center"/>
            </w:pPr>
            <w:r>
              <w:rPr>
                <w:color w:val="0000FF"/>
                <w:sz w:val="12"/>
              </w:rPr>
              <w:t>CONTRIBUIÇÃO REFERENTE À CONSULTA PÚBLICA Nº 27/2024</w:t>
            </w:r>
          </w:p>
        </w:tc>
      </w:tr>
      <w:tr w:rsidR="00541219" w14:paraId="56B4F03C" w14:textId="77777777">
        <w:trPr>
          <w:trHeight w:val="144"/>
        </w:trPr>
        <w:tc>
          <w:tcPr>
            <w:tcW w:w="10240" w:type="dxa"/>
            <w:gridSpan w:val="3"/>
            <w:tcBorders>
              <w:top w:val="single" w:sz="3" w:space="0" w:color="000000"/>
              <w:left w:val="single" w:sz="6" w:space="0" w:color="000000"/>
              <w:bottom w:val="single" w:sz="3" w:space="0" w:color="000000"/>
              <w:right w:val="single" w:sz="6" w:space="0" w:color="000000"/>
            </w:tcBorders>
          </w:tcPr>
          <w:p w14:paraId="4F10E884" w14:textId="0BFFD084" w:rsidR="00541219" w:rsidRDefault="00000000">
            <w:pPr>
              <w:spacing w:after="0"/>
              <w:ind w:left="0" w:firstLine="0"/>
              <w:jc w:val="center"/>
            </w:pPr>
            <w:r>
              <w:rPr>
                <w:color w:val="0000FF"/>
                <w:sz w:val="12"/>
              </w:rPr>
              <w:t>NOME DA INSTITUIÇÃO: Conselho de Consumidores d</w:t>
            </w:r>
            <w:r w:rsidR="008E3408">
              <w:rPr>
                <w:color w:val="0000FF"/>
                <w:sz w:val="12"/>
              </w:rPr>
              <w:t>a Área de Concessão da Energisa no Mato Grosso do Sul</w:t>
            </w:r>
            <w:r>
              <w:rPr>
                <w:color w:val="0000FF"/>
                <w:sz w:val="12"/>
              </w:rPr>
              <w:t xml:space="preserve"> </w:t>
            </w:r>
            <w:r w:rsidR="008E3408">
              <w:rPr>
                <w:color w:val="0000FF"/>
                <w:sz w:val="12"/>
              </w:rPr>
              <w:t>–</w:t>
            </w:r>
            <w:r>
              <w:rPr>
                <w:color w:val="0000FF"/>
                <w:sz w:val="12"/>
              </w:rPr>
              <w:t xml:space="preserve"> CONCE</w:t>
            </w:r>
            <w:r w:rsidR="008E3408">
              <w:rPr>
                <w:color w:val="0000FF"/>
                <w:sz w:val="12"/>
              </w:rPr>
              <w:t>N-MS</w:t>
            </w:r>
          </w:p>
        </w:tc>
      </w:tr>
      <w:tr w:rsidR="00541219" w14:paraId="6B978EDB" w14:textId="77777777">
        <w:trPr>
          <w:trHeight w:val="144"/>
        </w:trPr>
        <w:tc>
          <w:tcPr>
            <w:tcW w:w="10240" w:type="dxa"/>
            <w:gridSpan w:val="3"/>
            <w:tcBorders>
              <w:top w:val="single" w:sz="3" w:space="0" w:color="000000"/>
              <w:left w:val="single" w:sz="6" w:space="0" w:color="000000"/>
              <w:bottom w:val="single" w:sz="3" w:space="0" w:color="000000"/>
              <w:right w:val="single" w:sz="6" w:space="0" w:color="000000"/>
            </w:tcBorders>
          </w:tcPr>
          <w:p w14:paraId="7671174B" w14:textId="77777777" w:rsidR="00541219" w:rsidRDefault="00000000">
            <w:pPr>
              <w:tabs>
                <w:tab w:val="center" w:pos="728"/>
                <w:tab w:val="center" w:pos="5110"/>
              </w:tabs>
              <w:spacing w:after="0"/>
              <w:ind w:left="0" w:firstLine="0"/>
            </w:pPr>
            <w:r>
              <w:rPr>
                <w:rFonts w:ascii="Calibri" w:eastAsia="Calibri" w:hAnsi="Calibri" w:cs="Calibri"/>
                <w:sz w:val="22"/>
              </w:rPr>
              <w:tab/>
            </w:r>
            <w:r>
              <w:rPr>
                <w:noProof/>
              </w:rPr>
              <w:drawing>
                <wp:inline distT="0" distB="0" distL="0" distR="0" wp14:anchorId="13A78E52" wp14:editId="1E0B9777">
                  <wp:extent cx="559308" cy="344424"/>
                  <wp:effectExtent l="0" t="0" r="0" b="0"/>
                  <wp:docPr id="6898" name="Picture 6898"/>
                  <wp:cNvGraphicFramePr/>
                  <a:graphic xmlns:a="http://schemas.openxmlformats.org/drawingml/2006/main">
                    <a:graphicData uri="http://schemas.openxmlformats.org/drawingml/2006/picture">
                      <pic:pic xmlns:pic="http://schemas.openxmlformats.org/drawingml/2006/picture">
                        <pic:nvPicPr>
                          <pic:cNvPr id="6898" name="Picture 6898"/>
                          <pic:cNvPicPr/>
                        </pic:nvPicPr>
                        <pic:blipFill>
                          <a:blip r:embed="rId5"/>
                          <a:stretch>
                            <a:fillRect/>
                          </a:stretch>
                        </pic:blipFill>
                        <pic:spPr>
                          <a:xfrm>
                            <a:off x="0" y="0"/>
                            <a:ext cx="559308" cy="344424"/>
                          </a:xfrm>
                          <a:prstGeom prst="rect">
                            <a:avLst/>
                          </a:prstGeom>
                        </pic:spPr>
                      </pic:pic>
                    </a:graphicData>
                  </a:graphic>
                </wp:inline>
              </w:drawing>
            </w:r>
            <w:r>
              <w:rPr>
                <w:color w:val="0000FF"/>
                <w:sz w:val="12"/>
              </w:rPr>
              <w:tab/>
              <w:t>AGÊNCIA NACIONAL DE ENERGIA ELÉTRICA – ANEEL</w:t>
            </w:r>
          </w:p>
        </w:tc>
      </w:tr>
      <w:tr w:rsidR="00541219" w14:paraId="1503141C" w14:textId="77777777">
        <w:trPr>
          <w:trHeight w:val="173"/>
        </w:trPr>
        <w:tc>
          <w:tcPr>
            <w:tcW w:w="10240" w:type="dxa"/>
            <w:gridSpan w:val="3"/>
            <w:tcBorders>
              <w:top w:val="single" w:sz="3" w:space="0" w:color="000000"/>
              <w:left w:val="single" w:sz="6" w:space="0" w:color="000000"/>
              <w:bottom w:val="single" w:sz="3" w:space="0" w:color="000000"/>
              <w:right w:val="single" w:sz="6" w:space="0" w:color="000000"/>
            </w:tcBorders>
          </w:tcPr>
          <w:p w14:paraId="30505614" w14:textId="77777777" w:rsidR="00541219" w:rsidRDefault="00000000">
            <w:pPr>
              <w:spacing w:after="0"/>
              <w:ind w:left="12" w:firstLine="0"/>
              <w:jc w:val="center"/>
            </w:pPr>
            <w:r>
              <w:rPr>
                <w:color w:val="0000FF"/>
              </w:rPr>
              <w:t>ATO REGULATÓRIO: TERMO ADITIVO AO CONTRATO DE CONCESSÃO DE SERVIÇO PÚBLICO DE DISTRIBUIÇÃO DE ENERGIA ELÉTRICA No XX/XX-ANEEL</w:t>
            </w:r>
          </w:p>
        </w:tc>
      </w:tr>
      <w:tr w:rsidR="00541219" w14:paraId="26751473" w14:textId="77777777">
        <w:trPr>
          <w:trHeight w:val="187"/>
        </w:trPr>
        <w:tc>
          <w:tcPr>
            <w:tcW w:w="10240" w:type="dxa"/>
            <w:gridSpan w:val="3"/>
            <w:tcBorders>
              <w:top w:val="single" w:sz="3" w:space="0" w:color="000000"/>
              <w:left w:val="single" w:sz="6" w:space="0" w:color="000000"/>
              <w:bottom w:val="single" w:sz="3" w:space="0" w:color="000000"/>
              <w:right w:val="single" w:sz="6" w:space="0" w:color="000000"/>
            </w:tcBorders>
          </w:tcPr>
          <w:p w14:paraId="32273DA8" w14:textId="77777777" w:rsidR="00541219" w:rsidRDefault="00000000">
            <w:pPr>
              <w:spacing w:after="0"/>
              <w:ind w:left="2" w:firstLine="0"/>
              <w:jc w:val="center"/>
            </w:pPr>
            <w:r>
              <w:rPr>
                <w:color w:val="0000FF"/>
              </w:rPr>
              <w:t xml:space="preserve">                                                               EMENTA: Obter subsídios para o aprimoramento da minuta de termo aditivo ao contrato de concessão de distribuição de energia elétrica com vistas à prorrogação das concessões.</w:t>
            </w:r>
          </w:p>
        </w:tc>
      </w:tr>
      <w:tr w:rsidR="00541219" w14:paraId="75E461FA" w14:textId="77777777">
        <w:trPr>
          <w:trHeight w:val="130"/>
        </w:trPr>
        <w:tc>
          <w:tcPr>
            <w:tcW w:w="10240" w:type="dxa"/>
            <w:gridSpan w:val="3"/>
            <w:tcBorders>
              <w:top w:val="single" w:sz="3" w:space="0" w:color="000000"/>
              <w:left w:val="single" w:sz="6" w:space="0" w:color="000000"/>
              <w:bottom w:val="single" w:sz="3" w:space="0" w:color="000000"/>
              <w:right w:val="single" w:sz="6" w:space="0" w:color="000000"/>
            </w:tcBorders>
          </w:tcPr>
          <w:p w14:paraId="749E3F04" w14:textId="77777777" w:rsidR="00541219" w:rsidRDefault="00000000">
            <w:pPr>
              <w:spacing w:after="0"/>
              <w:ind w:left="0" w:right="2" w:firstLine="0"/>
              <w:jc w:val="center"/>
            </w:pPr>
            <w:r>
              <w:rPr>
                <w:color w:val="0000FF"/>
                <w:sz w:val="10"/>
              </w:rPr>
              <w:t>CONTRIBUIÇÕES RECEBIDAS</w:t>
            </w:r>
          </w:p>
        </w:tc>
      </w:tr>
      <w:tr w:rsidR="00541219" w14:paraId="05B213A7" w14:textId="77777777">
        <w:trPr>
          <w:trHeight w:val="268"/>
        </w:trPr>
        <w:tc>
          <w:tcPr>
            <w:tcW w:w="10240" w:type="dxa"/>
            <w:gridSpan w:val="3"/>
            <w:tcBorders>
              <w:top w:val="single" w:sz="3" w:space="0" w:color="000000"/>
              <w:left w:val="single" w:sz="6" w:space="0" w:color="000000"/>
              <w:bottom w:val="single" w:sz="6" w:space="0" w:color="000000"/>
              <w:right w:val="single" w:sz="6" w:space="0" w:color="000000"/>
            </w:tcBorders>
          </w:tcPr>
          <w:p w14:paraId="558FB8D1" w14:textId="77777777" w:rsidR="00541219" w:rsidRDefault="00000000">
            <w:pPr>
              <w:spacing w:after="0"/>
              <w:ind w:left="0" w:firstLine="0"/>
            </w:pPr>
            <w:r>
              <w:t>IMPORTANTE: Os comentários e sugestões referentes às contribuições deverão ser fundamentados e justificados, mencionando-se os artigos, parágrafos e incisos a que se referem, devendo ser acompanhados de textos alternativos e substitutivos quando envolverem sugestões de inclusão ou alteração, parcial ou total, de qualquer dispositivo.</w:t>
            </w:r>
          </w:p>
        </w:tc>
      </w:tr>
      <w:tr w:rsidR="00541219" w14:paraId="1DDF97F1" w14:textId="77777777">
        <w:trPr>
          <w:trHeight w:val="209"/>
        </w:trPr>
        <w:tc>
          <w:tcPr>
            <w:tcW w:w="3727" w:type="dxa"/>
            <w:tcBorders>
              <w:top w:val="single" w:sz="6" w:space="0" w:color="000000"/>
              <w:left w:val="single" w:sz="6" w:space="0" w:color="000000"/>
              <w:bottom w:val="double" w:sz="4" w:space="0" w:color="000000"/>
              <w:right w:val="single" w:sz="6" w:space="0" w:color="000000"/>
            </w:tcBorders>
            <w:shd w:val="clear" w:color="auto" w:fill="FF0000"/>
          </w:tcPr>
          <w:p w14:paraId="1BA8AC76" w14:textId="77777777" w:rsidR="00541219" w:rsidRDefault="00000000">
            <w:pPr>
              <w:spacing w:after="0"/>
              <w:ind w:left="0" w:right="1" w:firstLine="0"/>
              <w:jc w:val="center"/>
            </w:pPr>
            <w:r>
              <w:rPr>
                <w:color w:val="FFFFFF"/>
                <w:sz w:val="10"/>
              </w:rPr>
              <w:t xml:space="preserve">TEXTO/ANEEL </w:t>
            </w:r>
          </w:p>
        </w:tc>
        <w:tc>
          <w:tcPr>
            <w:tcW w:w="3041" w:type="dxa"/>
            <w:tcBorders>
              <w:top w:val="single" w:sz="6" w:space="0" w:color="000000"/>
              <w:left w:val="single" w:sz="6" w:space="0" w:color="000000"/>
              <w:bottom w:val="single" w:sz="6" w:space="0" w:color="000000"/>
              <w:right w:val="single" w:sz="6" w:space="0" w:color="000000"/>
            </w:tcBorders>
            <w:shd w:val="clear" w:color="auto" w:fill="FF0000"/>
          </w:tcPr>
          <w:p w14:paraId="30ECE696" w14:textId="77777777" w:rsidR="00541219" w:rsidRDefault="00000000">
            <w:pPr>
              <w:spacing w:after="0"/>
              <w:ind w:left="5" w:firstLine="0"/>
              <w:jc w:val="center"/>
            </w:pPr>
            <w:r>
              <w:rPr>
                <w:color w:val="FFFFFF"/>
                <w:sz w:val="10"/>
              </w:rPr>
              <w:t>TEXTO/INSTITUIÇÃO</w:t>
            </w:r>
          </w:p>
        </w:tc>
        <w:tc>
          <w:tcPr>
            <w:tcW w:w="3473" w:type="dxa"/>
            <w:tcBorders>
              <w:top w:val="single" w:sz="6" w:space="0" w:color="000000"/>
              <w:left w:val="single" w:sz="6" w:space="0" w:color="000000"/>
              <w:bottom w:val="single" w:sz="6" w:space="0" w:color="000000"/>
              <w:right w:val="single" w:sz="6" w:space="0" w:color="000000"/>
            </w:tcBorders>
            <w:shd w:val="clear" w:color="auto" w:fill="FF0000"/>
          </w:tcPr>
          <w:p w14:paraId="0B56D96B" w14:textId="77777777" w:rsidR="00541219" w:rsidRDefault="00000000">
            <w:pPr>
              <w:spacing w:after="0"/>
              <w:ind w:left="2" w:firstLine="0"/>
              <w:jc w:val="center"/>
            </w:pPr>
            <w:r>
              <w:rPr>
                <w:color w:val="FFFFFF"/>
                <w:sz w:val="10"/>
              </w:rPr>
              <w:t>JUSTIFICATIVA/INSTITUIÇÃO</w:t>
            </w:r>
          </w:p>
        </w:tc>
      </w:tr>
      <w:tr w:rsidR="00541219" w14:paraId="6E3ECFD4" w14:textId="77777777">
        <w:trPr>
          <w:trHeight w:val="285"/>
        </w:trPr>
        <w:tc>
          <w:tcPr>
            <w:tcW w:w="3727" w:type="dxa"/>
            <w:tcBorders>
              <w:top w:val="double" w:sz="4" w:space="0" w:color="000000"/>
              <w:left w:val="single" w:sz="3" w:space="0" w:color="000000"/>
              <w:bottom w:val="single" w:sz="3" w:space="0" w:color="000000"/>
              <w:right w:val="single" w:sz="3" w:space="0" w:color="000000"/>
            </w:tcBorders>
          </w:tcPr>
          <w:p w14:paraId="25D4C9A0" w14:textId="77777777" w:rsidR="00541219" w:rsidRDefault="00000000">
            <w:pPr>
              <w:spacing w:after="0"/>
              <w:ind w:left="0" w:firstLine="0"/>
            </w:pPr>
            <w:r>
              <w:rPr>
                <w:sz w:val="7"/>
              </w:rPr>
              <w:t xml:space="preserve">O objetivo das consultas é induzir efetiva cooperação e compartilhamento de informações entre </w:t>
            </w:r>
          </w:p>
          <w:p w14:paraId="6F47C721" w14:textId="77777777" w:rsidR="00541219" w:rsidRDefault="00000000">
            <w:pPr>
              <w:spacing w:after="0"/>
              <w:ind w:left="0" w:right="16" w:firstLine="0"/>
            </w:pPr>
            <w:r>
              <w:rPr>
                <w:sz w:val="7"/>
              </w:rPr>
              <w:t>DISTRIBUIDORA e partes interessadas relevantes, de forma a assegurar que os diversos interesses dos usuários sejam levados em consideração nas ações da concessionária.</w:t>
            </w:r>
          </w:p>
        </w:tc>
        <w:tc>
          <w:tcPr>
            <w:tcW w:w="6514" w:type="dxa"/>
            <w:gridSpan w:val="2"/>
            <w:tcBorders>
              <w:top w:val="single" w:sz="6" w:space="0" w:color="000000"/>
              <w:left w:val="single" w:sz="3" w:space="0" w:color="000000"/>
              <w:bottom w:val="single" w:sz="3" w:space="0" w:color="000000"/>
              <w:right w:val="nil"/>
            </w:tcBorders>
          </w:tcPr>
          <w:p w14:paraId="2FAF2C2F" w14:textId="77777777" w:rsidR="00541219" w:rsidRDefault="00541219">
            <w:pPr>
              <w:spacing w:after="160"/>
              <w:ind w:left="0" w:firstLine="0"/>
            </w:pPr>
          </w:p>
        </w:tc>
      </w:tr>
      <w:tr w:rsidR="00541219" w14:paraId="5D985922" w14:textId="77777777">
        <w:trPr>
          <w:trHeight w:val="322"/>
        </w:trPr>
        <w:tc>
          <w:tcPr>
            <w:tcW w:w="3727" w:type="dxa"/>
            <w:tcBorders>
              <w:top w:val="single" w:sz="3" w:space="0" w:color="000000"/>
              <w:left w:val="single" w:sz="3" w:space="0" w:color="000000"/>
              <w:bottom w:val="single" w:sz="3" w:space="0" w:color="000000"/>
              <w:right w:val="single" w:sz="3" w:space="0" w:color="000000"/>
            </w:tcBorders>
          </w:tcPr>
          <w:p w14:paraId="7AB7E02A" w14:textId="77777777" w:rsidR="00541219" w:rsidRDefault="00000000">
            <w:pPr>
              <w:spacing w:after="0"/>
              <w:ind w:left="0" w:firstLine="0"/>
            </w:pPr>
            <w:r>
              <w:rPr>
                <w:sz w:val="7"/>
              </w:rPr>
              <w:t>Subcláusula Primeira - A DISTRIBUIDORA deverá consultar as partes interessadas relevantes, pelo menos, ao seguinte:</w:t>
            </w:r>
          </w:p>
        </w:tc>
        <w:tc>
          <w:tcPr>
            <w:tcW w:w="3041" w:type="dxa"/>
            <w:tcBorders>
              <w:top w:val="single" w:sz="3" w:space="0" w:color="000000"/>
              <w:left w:val="single" w:sz="3" w:space="0" w:color="000000"/>
              <w:bottom w:val="single" w:sz="3" w:space="0" w:color="000000"/>
              <w:right w:val="single" w:sz="3" w:space="0" w:color="000000"/>
            </w:tcBorders>
          </w:tcPr>
          <w:p w14:paraId="7B1F97AD" w14:textId="77777777" w:rsidR="00541219" w:rsidRDefault="00000000">
            <w:pPr>
              <w:spacing w:after="0"/>
              <w:ind w:left="5" w:firstLine="0"/>
              <w:jc w:val="both"/>
            </w:pPr>
            <w:r>
              <w:t xml:space="preserve">Subcláusula Primeira - A DISTRIBUIDORA deverá consultar </w:t>
            </w:r>
            <w:r>
              <w:rPr>
                <w:color w:val="FF0000"/>
              </w:rPr>
              <w:t>o Conselho de Consumidores</w:t>
            </w:r>
            <w:r>
              <w:t>, pelo menos, ao seguinte:</w:t>
            </w:r>
          </w:p>
        </w:tc>
        <w:tc>
          <w:tcPr>
            <w:tcW w:w="3473" w:type="dxa"/>
            <w:tcBorders>
              <w:top w:val="single" w:sz="3" w:space="0" w:color="000000"/>
              <w:left w:val="single" w:sz="3" w:space="0" w:color="000000"/>
              <w:bottom w:val="single" w:sz="3" w:space="0" w:color="000000"/>
              <w:right w:val="single" w:sz="3" w:space="0" w:color="000000"/>
            </w:tcBorders>
          </w:tcPr>
          <w:p w14:paraId="060AC1C3" w14:textId="77777777" w:rsidR="00541219" w:rsidRDefault="00000000">
            <w:pPr>
              <w:spacing w:after="0"/>
              <w:ind w:left="5" w:firstLine="0"/>
            </w:pPr>
            <w:r>
              <w:t xml:space="preserve">A consulta sobre o Plano de Investimentos deve ser feita ao Conselho de </w:t>
            </w:r>
          </w:p>
          <w:p w14:paraId="65B7F755" w14:textId="77777777" w:rsidR="00541219" w:rsidRDefault="00000000" w:rsidP="008E3408">
            <w:pPr>
              <w:spacing w:after="0"/>
              <w:ind w:left="5" w:firstLine="0"/>
            </w:pPr>
            <w:r>
              <w:t xml:space="preserve">Consumidores objeto de constituição conforme </w:t>
            </w:r>
            <w:proofErr w:type="spellStart"/>
            <w:r>
              <w:t>preve</w:t>
            </w:r>
            <w:proofErr w:type="spellEnd"/>
            <w:r>
              <w:t xml:space="preserve"> o art. 13 da Lei nº 8.631/1993 e regulado pela REN nº 963/2021. </w:t>
            </w:r>
          </w:p>
        </w:tc>
      </w:tr>
      <w:tr w:rsidR="00541219" w14:paraId="6B299844"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38A064B7" w14:textId="77777777" w:rsidR="00541219" w:rsidRDefault="00000000">
            <w:pPr>
              <w:spacing w:after="0"/>
              <w:ind w:left="497" w:firstLine="0"/>
              <w:jc w:val="both"/>
            </w:pPr>
            <w:r>
              <w:rPr>
                <w:sz w:val="7"/>
              </w:rPr>
              <w:t xml:space="preserve">     I - </w:t>
            </w:r>
            <w:proofErr w:type="gramStart"/>
            <w:r>
              <w:rPr>
                <w:sz w:val="7"/>
              </w:rPr>
              <w:t>elaboração</w:t>
            </w:r>
            <w:proofErr w:type="gramEnd"/>
            <w:r>
              <w:rPr>
                <w:sz w:val="7"/>
              </w:rPr>
              <w:t xml:space="preserve"> de plano de investimento para cada ciclo tarifário contendo as ações dispostas nos itens XVIII, XIX e XX da Cláusula Terceira deste contrato;</w:t>
            </w:r>
          </w:p>
        </w:tc>
        <w:tc>
          <w:tcPr>
            <w:tcW w:w="6514" w:type="dxa"/>
            <w:gridSpan w:val="2"/>
            <w:vMerge w:val="restart"/>
            <w:tcBorders>
              <w:top w:val="single" w:sz="3" w:space="0" w:color="000000"/>
              <w:left w:val="single" w:sz="3" w:space="0" w:color="000000"/>
              <w:bottom w:val="nil"/>
              <w:right w:val="nil"/>
            </w:tcBorders>
          </w:tcPr>
          <w:p w14:paraId="7C448184" w14:textId="77777777" w:rsidR="00541219" w:rsidRDefault="00541219">
            <w:pPr>
              <w:spacing w:after="160"/>
              <w:ind w:left="0" w:firstLine="0"/>
            </w:pPr>
          </w:p>
        </w:tc>
      </w:tr>
      <w:tr w:rsidR="00541219" w14:paraId="2E001C45" w14:textId="77777777">
        <w:trPr>
          <w:trHeight w:val="91"/>
        </w:trPr>
        <w:tc>
          <w:tcPr>
            <w:tcW w:w="3727" w:type="dxa"/>
            <w:tcBorders>
              <w:top w:val="single" w:sz="3" w:space="0" w:color="000000"/>
              <w:left w:val="single" w:sz="3" w:space="0" w:color="000000"/>
              <w:bottom w:val="single" w:sz="3" w:space="0" w:color="000000"/>
              <w:right w:val="single" w:sz="3" w:space="0" w:color="000000"/>
            </w:tcBorders>
          </w:tcPr>
          <w:p w14:paraId="35C35786" w14:textId="77777777" w:rsidR="00541219" w:rsidRDefault="00000000">
            <w:pPr>
              <w:spacing w:after="0"/>
              <w:ind w:left="497" w:firstLine="0"/>
            </w:pPr>
            <w:r>
              <w:rPr>
                <w:sz w:val="7"/>
              </w:rPr>
              <w:t xml:space="preserve">     II - </w:t>
            </w:r>
            <w:proofErr w:type="gramStart"/>
            <w:r>
              <w:rPr>
                <w:sz w:val="7"/>
              </w:rPr>
              <w:t>demais</w:t>
            </w:r>
            <w:proofErr w:type="gramEnd"/>
            <w:r>
              <w:rPr>
                <w:sz w:val="7"/>
              </w:rPr>
              <w:t xml:space="preserve"> temas previstos em regulação da ANEEL.</w:t>
            </w:r>
          </w:p>
        </w:tc>
        <w:tc>
          <w:tcPr>
            <w:tcW w:w="0" w:type="auto"/>
            <w:gridSpan w:val="2"/>
            <w:vMerge/>
            <w:tcBorders>
              <w:top w:val="nil"/>
              <w:left w:val="single" w:sz="3" w:space="0" w:color="000000"/>
              <w:bottom w:val="nil"/>
              <w:right w:val="nil"/>
            </w:tcBorders>
          </w:tcPr>
          <w:p w14:paraId="22017C09" w14:textId="77777777" w:rsidR="00541219" w:rsidRDefault="00541219">
            <w:pPr>
              <w:spacing w:after="160"/>
              <w:ind w:left="0" w:firstLine="0"/>
            </w:pPr>
          </w:p>
        </w:tc>
      </w:tr>
      <w:tr w:rsidR="00541219" w14:paraId="43F2A8DC" w14:textId="77777777">
        <w:trPr>
          <w:trHeight w:val="330"/>
        </w:trPr>
        <w:tc>
          <w:tcPr>
            <w:tcW w:w="3727" w:type="dxa"/>
            <w:tcBorders>
              <w:top w:val="single" w:sz="3" w:space="0" w:color="000000"/>
              <w:left w:val="single" w:sz="3" w:space="0" w:color="000000"/>
              <w:bottom w:val="double" w:sz="3" w:space="0" w:color="000000"/>
              <w:right w:val="single" w:sz="3" w:space="0" w:color="000000"/>
            </w:tcBorders>
          </w:tcPr>
          <w:p w14:paraId="554942FB" w14:textId="77777777" w:rsidR="00541219" w:rsidRDefault="00000000">
            <w:pPr>
              <w:spacing w:after="0"/>
              <w:ind w:left="0" w:firstLine="0"/>
            </w:pPr>
            <w:r>
              <w:rPr>
                <w:sz w:val="7"/>
              </w:rPr>
              <w:t>Subcláusula Segunda - A DISTRIBUIDORA deve estabelecer processo estruturado para condução da Consulta aos Usuários, identificando as partes interessadas em cada ação e que promova sua efetividade, conforme regulamento.</w:t>
            </w:r>
          </w:p>
        </w:tc>
        <w:tc>
          <w:tcPr>
            <w:tcW w:w="0" w:type="auto"/>
            <w:gridSpan w:val="2"/>
            <w:vMerge/>
            <w:tcBorders>
              <w:top w:val="nil"/>
              <w:left w:val="single" w:sz="3" w:space="0" w:color="000000"/>
              <w:bottom w:val="nil"/>
              <w:right w:val="nil"/>
            </w:tcBorders>
          </w:tcPr>
          <w:p w14:paraId="769B6EB2" w14:textId="77777777" w:rsidR="00541219" w:rsidRDefault="00541219">
            <w:pPr>
              <w:spacing w:after="160"/>
              <w:ind w:left="0" w:firstLine="0"/>
            </w:pPr>
          </w:p>
        </w:tc>
      </w:tr>
      <w:tr w:rsidR="00541219" w14:paraId="694235A9" w14:textId="77777777">
        <w:trPr>
          <w:trHeight w:val="239"/>
        </w:trPr>
        <w:tc>
          <w:tcPr>
            <w:tcW w:w="3727" w:type="dxa"/>
            <w:tcBorders>
              <w:top w:val="double" w:sz="3" w:space="0" w:color="000000"/>
              <w:left w:val="single" w:sz="3" w:space="0" w:color="000000"/>
              <w:bottom w:val="single" w:sz="3" w:space="0" w:color="000000"/>
              <w:right w:val="single" w:sz="3" w:space="0" w:color="000000"/>
            </w:tcBorders>
          </w:tcPr>
          <w:p w14:paraId="4F44E60C" w14:textId="77777777" w:rsidR="00541219" w:rsidRDefault="00000000">
            <w:pPr>
              <w:spacing w:after="0"/>
              <w:ind w:left="2" w:firstLine="0"/>
            </w:pPr>
            <w:r>
              <w:t>CLÁUSULA DÉCIMA QUINTA – ALOCAÇÃO DE RISCOS</w:t>
            </w:r>
          </w:p>
          <w:p w14:paraId="213A4A4E" w14:textId="77777777" w:rsidR="00541219" w:rsidRDefault="00000000">
            <w:pPr>
              <w:spacing w:after="0"/>
              <w:ind w:left="0" w:right="18" w:firstLine="0"/>
            </w:pPr>
            <w:r>
              <w:rPr>
                <w:sz w:val="7"/>
              </w:rPr>
              <w:t>Os riscos decorrentes da execução da concessão serão alocados ao Poder Concedente ou à Concessionária, nos termos das Subcláusulas Primeira e Segunda.</w:t>
            </w:r>
          </w:p>
        </w:tc>
        <w:tc>
          <w:tcPr>
            <w:tcW w:w="0" w:type="auto"/>
            <w:gridSpan w:val="2"/>
            <w:vMerge/>
            <w:tcBorders>
              <w:top w:val="nil"/>
              <w:left w:val="single" w:sz="3" w:space="0" w:color="000000"/>
              <w:bottom w:val="nil"/>
              <w:right w:val="nil"/>
            </w:tcBorders>
          </w:tcPr>
          <w:p w14:paraId="5441540C" w14:textId="77777777" w:rsidR="00541219" w:rsidRDefault="00541219">
            <w:pPr>
              <w:spacing w:after="160"/>
              <w:ind w:left="0" w:firstLine="0"/>
            </w:pPr>
          </w:p>
        </w:tc>
      </w:tr>
      <w:tr w:rsidR="00541219" w14:paraId="3A14D59F"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2C11846A" w14:textId="77777777" w:rsidR="00541219" w:rsidRDefault="00000000">
            <w:pPr>
              <w:spacing w:after="0"/>
              <w:ind w:left="0" w:firstLine="0"/>
            </w:pPr>
            <w:r>
              <w:rPr>
                <w:sz w:val="7"/>
              </w:rPr>
              <w:t>Subcláusula Primeira – Com exceção das hipóteses previstas neste Contrato de Concessão, a Concessionária é integral e exclusivamente responsável por todos os riscos relacionados à Concessão, inclusive, mas sem limitação, pelos seguintes riscos:</w:t>
            </w:r>
          </w:p>
        </w:tc>
        <w:tc>
          <w:tcPr>
            <w:tcW w:w="0" w:type="auto"/>
            <w:gridSpan w:val="2"/>
            <w:vMerge/>
            <w:tcBorders>
              <w:top w:val="nil"/>
              <w:left w:val="single" w:sz="3" w:space="0" w:color="000000"/>
              <w:bottom w:val="nil"/>
              <w:right w:val="nil"/>
            </w:tcBorders>
          </w:tcPr>
          <w:p w14:paraId="37119F30" w14:textId="77777777" w:rsidR="00541219" w:rsidRDefault="00541219">
            <w:pPr>
              <w:spacing w:after="160"/>
              <w:ind w:left="0" w:firstLine="0"/>
            </w:pPr>
          </w:p>
        </w:tc>
      </w:tr>
      <w:tr w:rsidR="00541219" w14:paraId="55786EDB"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4C53FECA" w14:textId="77777777" w:rsidR="00541219" w:rsidRDefault="00000000">
            <w:pPr>
              <w:spacing w:after="0"/>
              <w:ind w:left="497" w:firstLine="0"/>
            </w:pPr>
            <w:r>
              <w:rPr>
                <w:sz w:val="7"/>
              </w:rPr>
              <w:t xml:space="preserve">     I – </w:t>
            </w:r>
            <w:proofErr w:type="gramStart"/>
            <w:r>
              <w:rPr>
                <w:sz w:val="7"/>
              </w:rPr>
              <w:t>variação</w:t>
            </w:r>
            <w:proofErr w:type="gramEnd"/>
            <w:r>
              <w:rPr>
                <w:sz w:val="7"/>
              </w:rPr>
              <w:t xml:space="preserve"> de mercado sobre o valor de Parcela B entre as revisões tarifárias periódicas, observado o disposto na Subcláusula Vigésima Terceira da Cláusula Sexta;</w:t>
            </w:r>
          </w:p>
        </w:tc>
        <w:tc>
          <w:tcPr>
            <w:tcW w:w="0" w:type="auto"/>
            <w:gridSpan w:val="2"/>
            <w:vMerge/>
            <w:tcBorders>
              <w:top w:val="nil"/>
              <w:left w:val="single" w:sz="3" w:space="0" w:color="000000"/>
              <w:bottom w:val="nil"/>
              <w:right w:val="nil"/>
            </w:tcBorders>
          </w:tcPr>
          <w:p w14:paraId="4D6276E8" w14:textId="77777777" w:rsidR="00541219" w:rsidRDefault="00541219">
            <w:pPr>
              <w:spacing w:after="160"/>
              <w:ind w:left="0" w:firstLine="0"/>
            </w:pPr>
          </w:p>
        </w:tc>
      </w:tr>
      <w:tr w:rsidR="00541219" w14:paraId="1C496C52"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0841B9D4" w14:textId="77777777" w:rsidR="00541219" w:rsidRDefault="00000000">
            <w:pPr>
              <w:spacing w:after="0"/>
              <w:ind w:left="497" w:firstLine="0"/>
            </w:pPr>
            <w:r>
              <w:rPr>
                <w:sz w:val="7"/>
              </w:rPr>
              <w:t xml:space="preserve">     II – </w:t>
            </w:r>
            <w:proofErr w:type="gramStart"/>
            <w:r>
              <w:rPr>
                <w:sz w:val="7"/>
              </w:rPr>
              <w:t>variação</w:t>
            </w:r>
            <w:proofErr w:type="gramEnd"/>
            <w:r>
              <w:rPr>
                <w:sz w:val="7"/>
              </w:rPr>
              <w:t xml:space="preserve"> nos custos de conexão e de uso das instalações de transmissão e/ou distribuição de energia elétrica e de compra de energia em relação aos custos eficientes ou regulatórios;</w:t>
            </w:r>
          </w:p>
        </w:tc>
        <w:tc>
          <w:tcPr>
            <w:tcW w:w="0" w:type="auto"/>
            <w:gridSpan w:val="2"/>
            <w:vMerge/>
            <w:tcBorders>
              <w:top w:val="nil"/>
              <w:left w:val="single" w:sz="3" w:space="0" w:color="000000"/>
              <w:bottom w:val="nil"/>
              <w:right w:val="nil"/>
            </w:tcBorders>
          </w:tcPr>
          <w:p w14:paraId="5C82AD91" w14:textId="77777777" w:rsidR="00541219" w:rsidRDefault="00541219">
            <w:pPr>
              <w:spacing w:after="160"/>
              <w:ind w:left="0" w:firstLine="0"/>
            </w:pPr>
          </w:p>
        </w:tc>
      </w:tr>
      <w:tr w:rsidR="00541219" w14:paraId="00327BF0" w14:textId="77777777">
        <w:trPr>
          <w:trHeight w:val="91"/>
        </w:trPr>
        <w:tc>
          <w:tcPr>
            <w:tcW w:w="3727" w:type="dxa"/>
            <w:tcBorders>
              <w:top w:val="single" w:sz="3" w:space="0" w:color="000000"/>
              <w:left w:val="single" w:sz="3" w:space="0" w:color="000000"/>
              <w:bottom w:val="single" w:sz="3" w:space="0" w:color="000000"/>
              <w:right w:val="single" w:sz="3" w:space="0" w:color="000000"/>
            </w:tcBorders>
          </w:tcPr>
          <w:p w14:paraId="47CD34B2" w14:textId="77777777" w:rsidR="00541219" w:rsidRDefault="00000000">
            <w:pPr>
              <w:spacing w:after="0"/>
              <w:ind w:left="0" w:right="34" w:firstLine="0"/>
              <w:jc w:val="center"/>
            </w:pPr>
            <w:r>
              <w:rPr>
                <w:sz w:val="7"/>
              </w:rPr>
              <w:t xml:space="preserve">     III – não prestação do serviço adequado de distribuição, conforme a regulação;</w:t>
            </w:r>
          </w:p>
        </w:tc>
        <w:tc>
          <w:tcPr>
            <w:tcW w:w="0" w:type="auto"/>
            <w:gridSpan w:val="2"/>
            <w:vMerge/>
            <w:tcBorders>
              <w:top w:val="nil"/>
              <w:left w:val="single" w:sz="3" w:space="0" w:color="000000"/>
              <w:bottom w:val="nil"/>
              <w:right w:val="nil"/>
            </w:tcBorders>
          </w:tcPr>
          <w:p w14:paraId="266B5F44" w14:textId="77777777" w:rsidR="00541219" w:rsidRDefault="00541219">
            <w:pPr>
              <w:spacing w:after="160"/>
              <w:ind w:left="0" w:firstLine="0"/>
            </w:pPr>
          </w:p>
        </w:tc>
      </w:tr>
      <w:tr w:rsidR="00541219" w14:paraId="7C42060C"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2BC95D90" w14:textId="77777777" w:rsidR="00541219" w:rsidRDefault="00000000">
            <w:pPr>
              <w:spacing w:after="0"/>
              <w:ind w:left="497" w:firstLine="0"/>
            </w:pPr>
            <w:r>
              <w:rPr>
                <w:sz w:val="7"/>
              </w:rPr>
              <w:t xml:space="preserve">     IV – </w:t>
            </w:r>
            <w:proofErr w:type="gramStart"/>
            <w:r>
              <w:rPr>
                <w:sz w:val="7"/>
              </w:rPr>
              <w:t>surgimento</w:t>
            </w:r>
            <w:proofErr w:type="gramEnd"/>
            <w:r>
              <w:rPr>
                <w:sz w:val="7"/>
              </w:rPr>
              <w:t xml:space="preserve"> de concorrência na prestação de serviços ora caracterizados como monopólio natural, não ensejando ressarcimentos;</w:t>
            </w:r>
          </w:p>
        </w:tc>
        <w:tc>
          <w:tcPr>
            <w:tcW w:w="0" w:type="auto"/>
            <w:gridSpan w:val="2"/>
            <w:vMerge/>
            <w:tcBorders>
              <w:top w:val="nil"/>
              <w:left w:val="single" w:sz="3" w:space="0" w:color="000000"/>
              <w:bottom w:val="nil"/>
              <w:right w:val="nil"/>
            </w:tcBorders>
          </w:tcPr>
          <w:p w14:paraId="671719B4" w14:textId="77777777" w:rsidR="00541219" w:rsidRDefault="00541219">
            <w:pPr>
              <w:spacing w:after="160"/>
              <w:ind w:left="0" w:firstLine="0"/>
            </w:pPr>
          </w:p>
        </w:tc>
      </w:tr>
      <w:tr w:rsidR="00541219" w14:paraId="0E2A8D75" w14:textId="77777777">
        <w:trPr>
          <w:trHeight w:val="365"/>
        </w:trPr>
        <w:tc>
          <w:tcPr>
            <w:tcW w:w="3727" w:type="dxa"/>
            <w:tcBorders>
              <w:top w:val="single" w:sz="3" w:space="0" w:color="000000"/>
              <w:left w:val="single" w:sz="3" w:space="0" w:color="000000"/>
              <w:bottom w:val="single" w:sz="3" w:space="0" w:color="000000"/>
              <w:right w:val="single" w:sz="3" w:space="0" w:color="000000"/>
            </w:tcBorders>
          </w:tcPr>
          <w:p w14:paraId="0BEEFDA3" w14:textId="77777777" w:rsidR="00541219" w:rsidRDefault="00000000">
            <w:pPr>
              <w:spacing w:after="0"/>
              <w:ind w:left="497" w:firstLine="0"/>
            </w:pPr>
            <w:r>
              <w:rPr>
                <w:sz w:val="7"/>
              </w:rPr>
              <w:t xml:space="preserve">     V - </w:t>
            </w:r>
            <w:proofErr w:type="gramStart"/>
            <w:r>
              <w:rPr>
                <w:sz w:val="7"/>
              </w:rPr>
              <w:t>de</w:t>
            </w:r>
            <w:proofErr w:type="gramEnd"/>
            <w:r>
              <w:rPr>
                <w:sz w:val="7"/>
              </w:rPr>
              <w:t xml:space="preserve"> estrutura tarifária, autorizada pela ANEEL, inclusive aquela ajustada às realidades da concessão, de acordo com a subcláusula Vigésima Primeira da Cláusula Sexta, não ensejando pleitos compensatórios em caso frustração da receita intencionada, ressalvado o que consta na Subcláusula Décima Sétima da Cláusula Sexta;</w:t>
            </w:r>
          </w:p>
        </w:tc>
        <w:tc>
          <w:tcPr>
            <w:tcW w:w="0" w:type="auto"/>
            <w:gridSpan w:val="2"/>
            <w:vMerge/>
            <w:tcBorders>
              <w:top w:val="nil"/>
              <w:left w:val="single" w:sz="3" w:space="0" w:color="000000"/>
              <w:bottom w:val="nil"/>
              <w:right w:val="nil"/>
            </w:tcBorders>
          </w:tcPr>
          <w:p w14:paraId="6A8512AE" w14:textId="77777777" w:rsidR="00541219" w:rsidRDefault="00541219">
            <w:pPr>
              <w:spacing w:after="160"/>
              <w:ind w:left="0" w:firstLine="0"/>
            </w:pPr>
          </w:p>
        </w:tc>
      </w:tr>
      <w:tr w:rsidR="00541219" w14:paraId="5FDC637B" w14:textId="77777777">
        <w:trPr>
          <w:trHeight w:val="91"/>
        </w:trPr>
        <w:tc>
          <w:tcPr>
            <w:tcW w:w="3727" w:type="dxa"/>
            <w:tcBorders>
              <w:top w:val="single" w:sz="3" w:space="0" w:color="000000"/>
              <w:left w:val="single" w:sz="3" w:space="0" w:color="000000"/>
              <w:bottom w:val="single" w:sz="3" w:space="0" w:color="000000"/>
              <w:right w:val="single" w:sz="3" w:space="0" w:color="000000"/>
            </w:tcBorders>
          </w:tcPr>
          <w:p w14:paraId="118178BB" w14:textId="77777777" w:rsidR="00541219" w:rsidRDefault="00000000">
            <w:pPr>
              <w:spacing w:after="0"/>
              <w:ind w:left="0" w:right="41" w:firstLine="0"/>
              <w:jc w:val="center"/>
            </w:pPr>
            <w:r>
              <w:rPr>
                <w:sz w:val="7"/>
              </w:rPr>
              <w:t xml:space="preserve">     VI - </w:t>
            </w:r>
            <w:proofErr w:type="gramStart"/>
            <w:r>
              <w:rPr>
                <w:sz w:val="7"/>
              </w:rPr>
              <w:t>gestão</w:t>
            </w:r>
            <w:proofErr w:type="gramEnd"/>
            <w:r>
              <w:rPr>
                <w:sz w:val="7"/>
              </w:rPr>
              <w:t xml:space="preserve"> econômico-financeira, técnica e operacional do negócio concedido.</w:t>
            </w:r>
          </w:p>
        </w:tc>
        <w:tc>
          <w:tcPr>
            <w:tcW w:w="0" w:type="auto"/>
            <w:gridSpan w:val="2"/>
            <w:vMerge/>
            <w:tcBorders>
              <w:top w:val="nil"/>
              <w:left w:val="single" w:sz="3" w:space="0" w:color="000000"/>
              <w:bottom w:val="nil"/>
              <w:right w:val="nil"/>
            </w:tcBorders>
          </w:tcPr>
          <w:p w14:paraId="2F014C64" w14:textId="77777777" w:rsidR="00541219" w:rsidRDefault="00541219">
            <w:pPr>
              <w:spacing w:after="160"/>
              <w:ind w:left="0" w:firstLine="0"/>
            </w:pPr>
          </w:p>
        </w:tc>
      </w:tr>
      <w:tr w:rsidR="00541219" w14:paraId="05B0A6B4"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24E146A5" w14:textId="77777777" w:rsidR="00541219" w:rsidRDefault="00000000">
            <w:pPr>
              <w:spacing w:after="0"/>
              <w:ind w:left="994" w:firstLine="0"/>
            </w:pPr>
            <w:r>
              <w:rPr>
                <w:sz w:val="7"/>
              </w:rPr>
              <w:t xml:space="preserve">Parágrafo Único – a ANEEL poderá proceder à revisão tarifária extraordinária, conforme subcláusula Décima Quinta da Cláusula Sexta, observando: </w:t>
            </w:r>
          </w:p>
        </w:tc>
        <w:tc>
          <w:tcPr>
            <w:tcW w:w="0" w:type="auto"/>
            <w:gridSpan w:val="2"/>
            <w:vMerge/>
            <w:tcBorders>
              <w:top w:val="nil"/>
              <w:left w:val="single" w:sz="3" w:space="0" w:color="000000"/>
              <w:bottom w:val="nil"/>
              <w:right w:val="nil"/>
            </w:tcBorders>
          </w:tcPr>
          <w:p w14:paraId="715FDD10" w14:textId="77777777" w:rsidR="00541219" w:rsidRDefault="00541219">
            <w:pPr>
              <w:spacing w:after="160"/>
              <w:ind w:left="0" w:firstLine="0"/>
            </w:pPr>
          </w:p>
        </w:tc>
      </w:tr>
      <w:tr w:rsidR="00541219" w14:paraId="7D91002B"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64F7EC7A" w14:textId="77777777" w:rsidR="00541219" w:rsidRDefault="00000000">
            <w:pPr>
              <w:spacing w:after="0"/>
              <w:ind w:left="1490" w:firstLine="0"/>
            </w:pPr>
            <w:r>
              <w:rPr>
                <w:sz w:val="7"/>
              </w:rPr>
              <w:t xml:space="preserve">     i) a capacidade de gestão da DISTRIBUIDORA e do Poder Concedente sobre o risco identificado e suas consequências; </w:t>
            </w:r>
          </w:p>
        </w:tc>
        <w:tc>
          <w:tcPr>
            <w:tcW w:w="0" w:type="auto"/>
            <w:gridSpan w:val="2"/>
            <w:vMerge/>
            <w:tcBorders>
              <w:top w:val="nil"/>
              <w:left w:val="single" w:sz="3" w:space="0" w:color="000000"/>
              <w:bottom w:val="nil"/>
              <w:right w:val="nil"/>
            </w:tcBorders>
          </w:tcPr>
          <w:p w14:paraId="16380127" w14:textId="77777777" w:rsidR="00541219" w:rsidRDefault="00541219">
            <w:pPr>
              <w:spacing w:after="160"/>
              <w:ind w:left="0" w:firstLine="0"/>
            </w:pPr>
          </w:p>
        </w:tc>
      </w:tr>
      <w:tr w:rsidR="00541219" w14:paraId="075C0E7F"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3EC06B01" w14:textId="77777777" w:rsidR="00541219" w:rsidRDefault="00000000">
            <w:pPr>
              <w:spacing w:after="0"/>
              <w:ind w:left="1490" w:firstLine="0"/>
            </w:pPr>
            <w:r>
              <w:rPr>
                <w:sz w:val="7"/>
              </w:rPr>
              <w:t xml:space="preserve">     </w:t>
            </w:r>
            <w:proofErr w:type="spellStart"/>
            <w:r>
              <w:rPr>
                <w:sz w:val="7"/>
              </w:rPr>
              <w:t>ii</w:t>
            </w:r>
            <w:proofErr w:type="spellEnd"/>
            <w:r>
              <w:rPr>
                <w:sz w:val="7"/>
              </w:rPr>
              <w:t xml:space="preserve">) significância do risco materializado em relação a situação econômico-financeira do contrato ao longo da sua duração; e </w:t>
            </w:r>
          </w:p>
        </w:tc>
        <w:tc>
          <w:tcPr>
            <w:tcW w:w="0" w:type="auto"/>
            <w:gridSpan w:val="2"/>
            <w:vMerge/>
            <w:tcBorders>
              <w:top w:val="nil"/>
              <w:left w:val="single" w:sz="3" w:space="0" w:color="000000"/>
              <w:bottom w:val="nil"/>
              <w:right w:val="nil"/>
            </w:tcBorders>
          </w:tcPr>
          <w:p w14:paraId="76D5E917" w14:textId="77777777" w:rsidR="00541219" w:rsidRDefault="00541219">
            <w:pPr>
              <w:spacing w:after="160"/>
              <w:ind w:left="0" w:firstLine="0"/>
            </w:pPr>
          </w:p>
        </w:tc>
      </w:tr>
      <w:tr w:rsidR="00541219" w14:paraId="59B954CA"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71A4CA6B" w14:textId="77777777" w:rsidR="00541219" w:rsidRDefault="00000000">
            <w:pPr>
              <w:spacing w:after="0"/>
              <w:ind w:left="1490" w:firstLine="0"/>
            </w:pPr>
            <w:r>
              <w:rPr>
                <w:sz w:val="7"/>
              </w:rPr>
              <w:t xml:space="preserve">     </w:t>
            </w:r>
            <w:proofErr w:type="spellStart"/>
            <w:r>
              <w:rPr>
                <w:sz w:val="7"/>
              </w:rPr>
              <w:t>iii</w:t>
            </w:r>
            <w:proofErr w:type="spellEnd"/>
            <w:r>
              <w:rPr>
                <w:sz w:val="7"/>
              </w:rPr>
              <w:t>) apresentação de ações de prevenção, quando for o caso, e de mitigação do risco materializado por parte da distribuidora.</w:t>
            </w:r>
          </w:p>
        </w:tc>
        <w:tc>
          <w:tcPr>
            <w:tcW w:w="0" w:type="auto"/>
            <w:gridSpan w:val="2"/>
            <w:vMerge/>
            <w:tcBorders>
              <w:top w:val="nil"/>
              <w:left w:val="single" w:sz="3" w:space="0" w:color="000000"/>
              <w:bottom w:val="nil"/>
              <w:right w:val="nil"/>
            </w:tcBorders>
          </w:tcPr>
          <w:p w14:paraId="59F6521F" w14:textId="77777777" w:rsidR="00541219" w:rsidRDefault="00541219">
            <w:pPr>
              <w:spacing w:after="160"/>
              <w:ind w:left="0" w:firstLine="0"/>
            </w:pPr>
          </w:p>
        </w:tc>
      </w:tr>
      <w:tr w:rsidR="00541219" w14:paraId="52D6D8BD"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35F6A7F1" w14:textId="77777777" w:rsidR="00541219" w:rsidRDefault="00000000">
            <w:pPr>
              <w:spacing w:after="0"/>
              <w:ind w:left="0" w:firstLine="0"/>
            </w:pPr>
            <w:r>
              <w:rPr>
                <w:sz w:val="7"/>
              </w:rPr>
              <w:t>Subcláusula Segunda - a Concessionária não é responsável pelos seguintes riscos relacionados à Concessão, cuja responsabilidade é do Poder Concedente, nos termos da regulação:</w:t>
            </w:r>
          </w:p>
        </w:tc>
        <w:tc>
          <w:tcPr>
            <w:tcW w:w="0" w:type="auto"/>
            <w:gridSpan w:val="2"/>
            <w:vMerge/>
            <w:tcBorders>
              <w:top w:val="nil"/>
              <w:left w:val="single" w:sz="3" w:space="0" w:color="000000"/>
              <w:bottom w:val="nil"/>
              <w:right w:val="nil"/>
            </w:tcBorders>
          </w:tcPr>
          <w:p w14:paraId="5295AB3B" w14:textId="77777777" w:rsidR="00541219" w:rsidRDefault="00541219">
            <w:pPr>
              <w:spacing w:after="160"/>
              <w:ind w:left="0" w:firstLine="0"/>
            </w:pPr>
          </w:p>
        </w:tc>
      </w:tr>
      <w:tr w:rsidR="00541219" w14:paraId="2D7763E2"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1745B07E" w14:textId="77777777" w:rsidR="00541219" w:rsidRDefault="00000000">
            <w:pPr>
              <w:spacing w:after="0"/>
              <w:ind w:left="497" w:firstLine="0"/>
              <w:jc w:val="both"/>
            </w:pPr>
            <w:r>
              <w:rPr>
                <w:sz w:val="7"/>
              </w:rPr>
              <w:t xml:space="preserve">     I – </w:t>
            </w:r>
            <w:proofErr w:type="gramStart"/>
            <w:r>
              <w:rPr>
                <w:sz w:val="7"/>
              </w:rPr>
              <w:t>variação</w:t>
            </w:r>
            <w:proofErr w:type="gramEnd"/>
            <w:r>
              <w:rPr>
                <w:sz w:val="7"/>
              </w:rPr>
              <w:t xml:space="preserve"> nos custos de encargos setoriais, garantidas as neutralidades sobre as receitas conforme Subcláusula Décima Sétima da Cláusula Sexta;</w:t>
            </w:r>
          </w:p>
        </w:tc>
        <w:tc>
          <w:tcPr>
            <w:tcW w:w="0" w:type="auto"/>
            <w:gridSpan w:val="2"/>
            <w:vMerge/>
            <w:tcBorders>
              <w:top w:val="nil"/>
              <w:left w:val="single" w:sz="3" w:space="0" w:color="000000"/>
              <w:bottom w:val="nil"/>
              <w:right w:val="nil"/>
            </w:tcBorders>
          </w:tcPr>
          <w:p w14:paraId="67907F7A" w14:textId="77777777" w:rsidR="00541219" w:rsidRDefault="00541219">
            <w:pPr>
              <w:spacing w:after="160"/>
              <w:ind w:left="0" w:firstLine="0"/>
            </w:pPr>
          </w:p>
        </w:tc>
      </w:tr>
      <w:tr w:rsidR="00541219" w14:paraId="1C8D108A"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583F928B" w14:textId="77777777" w:rsidR="00541219" w:rsidRDefault="00000000">
            <w:pPr>
              <w:spacing w:after="0"/>
              <w:ind w:left="497" w:right="104" w:firstLine="0"/>
              <w:jc w:val="both"/>
            </w:pPr>
            <w:r>
              <w:rPr>
                <w:sz w:val="7"/>
              </w:rPr>
              <w:t xml:space="preserve">     II – </w:t>
            </w:r>
            <w:proofErr w:type="gramStart"/>
            <w:r>
              <w:rPr>
                <w:sz w:val="7"/>
              </w:rPr>
              <w:t>variação</w:t>
            </w:r>
            <w:proofErr w:type="gramEnd"/>
            <w:r>
              <w:rPr>
                <w:sz w:val="7"/>
              </w:rPr>
              <w:t xml:space="preserve"> nos custos eficientes ou regulatórios dos demais itens da Parcela A, garantidas as neutralidades sobre as receitas eficientes ou regulatórias conforme Subcláusula Décima Sétima da Cláusula Sexta;</w:t>
            </w:r>
          </w:p>
        </w:tc>
        <w:tc>
          <w:tcPr>
            <w:tcW w:w="0" w:type="auto"/>
            <w:gridSpan w:val="2"/>
            <w:vMerge/>
            <w:tcBorders>
              <w:top w:val="nil"/>
              <w:left w:val="single" w:sz="3" w:space="0" w:color="000000"/>
              <w:bottom w:val="nil"/>
              <w:right w:val="nil"/>
            </w:tcBorders>
          </w:tcPr>
          <w:p w14:paraId="19E5B63D" w14:textId="77777777" w:rsidR="00541219" w:rsidRDefault="00541219">
            <w:pPr>
              <w:spacing w:after="160"/>
              <w:ind w:left="0" w:firstLine="0"/>
            </w:pPr>
          </w:p>
        </w:tc>
      </w:tr>
      <w:tr w:rsidR="00541219" w14:paraId="3E32D894"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6AC03175" w14:textId="77777777" w:rsidR="00541219" w:rsidRDefault="00000000">
            <w:pPr>
              <w:spacing w:after="0"/>
              <w:ind w:left="497" w:firstLine="0"/>
            </w:pPr>
            <w:r>
              <w:rPr>
                <w:sz w:val="7"/>
              </w:rPr>
              <w:t xml:space="preserve">     III - criação, alteração ou extinção de tributos, encargos legais ou benefícios tarifários pelo Poder Concedente, excetuada a legislação dos tributos sobre renda, preservando o equilíbrio </w:t>
            </w:r>
            <w:proofErr w:type="gramStart"/>
            <w:r>
              <w:rPr>
                <w:sz w:val="7"/>
              </w:rPr>
              <w:t>econômico- financeiro</w:t>
            </w:r>
            <w:proofErr w:type="gramEnd"/>
            <w:r>
              <w:rPr>
                <w:sz w:val="7"/>
              </w:rPr>
              <w:t xml:space="preserve"> do contrato;</w:t>
            </w:r>
          </w:p>
        </w:tc>
        <w:tc>
          <w:tcPr>
            <w:tcW w:w="0" w:type="auto"/>
            <w:gridSpan w:val="2"/>
            <w:vMerge/>
            <w:tcBorders>
              <w:top w:val="nil"/>
              <w:left w:val="single" w:sz="3" w:space="0" w:color="000000"/>
              <w:bottom w:val="nil"/>
              <w:right w:val="nil"/>
            </w:tcBorders>
          </w:tcPr>
          <w:p w14:paraId="6A363F9A" w14:textId="77777777" w:rsidR="00541219" w:rsidRDefault="00541219">
            <w:pPr>
              <w:spacing w:after="160"/>
              <w:ind w:left="0" w:firstLine="0"/>
            </w:pPr>
          </w:p>
        </w:tc>
      </w:tr>
      <w:tr w:rsidR="00541219" w14:paraId="60C9202B" w14:textId="77777777">
        <w:trPr>
          <w:trHeight w:val="365"/>
        </w:trPr>
        <w:tc>
          <w:tcPr>
            <w:tcW w:w="3727" w:type="dxa"/>
            <w:tcBorders>
              <w:top w:val="single" w:sz="3" w:space="0" w:color="000000"/>
              <w:left w:val="single" w:sz="3" w:space="0" w:color="000000"/>
              <w:bottom w:val="single" w:sz="3" w:space="0" w:color="000000"/>
              <w:right w:val="single" w:sz="3" w:space="0" w:color="000000"/>
            </w:tcBorders>
          </w:tcPr>
          <w:p w14:paraId="3FAB733E" w14:textId="77777777" w:rsidR="00541219" w:rsidRDefault="00000000">
            <w:pPr>
              <w:spacing w:after="0"/>
              <w:ind w:left="0" w:right="21" w:firstLine="0"/>
              <w:jc w:val="right"/>
            </w:pPr>
            <w:r>
              <w:rPr>
                <w:sz w:val="7"/>
              </w:rPr>
              <w:t xml:space="preserve">     IV - </w:t>
            </w:r>
            <w:proofErr w:type="gramStart"/>
            <w:r>
              <w:rPr>
                <w:sz w:val="7"/>
              </w:rPr>
              <w:t>decisão</w:t>
            </w:r>
            <w:proofErr w:type="gramEnd"/>
            <w:r>
              <w:rPr>
                <w:sz w:val="7"/>
              </w:rPr>
              <w:t xml:space="preserve"> arbitral, judicial ou administrativa que impeça ou impossibilite a concessionária de </w:t>
            </w:r>
          </w:p>
          <w:p w14:paraId="2F70E452" w14:textId="77777777" w:rsidR="00541219" w:rsidRDefault="00000000">
            <w:pPr>
              <w:spacing w:after="0"/>
              <w:ind w:left="497" w:firstLine="0"/>
            </w:pPr>
            <w:r>
              <w:rPr>
                <w:sz w:val="7"/>
              </w:rPr>
              <w:t>cobrar as tarifas homologadas pela Aneel, causando desequilíbrio econômico-financeiro comprovado, exceto nos casos em que a Concessionária tiver dado causa a tal decisão ou não atuou diligentemente sobre a decisão;</w:t>
            </w:r>
          </w:p>
        </w:tc>
        <w:tc>
          <w:tcPr>
            <w:tcW w:w="0" w:type="auto"/>
            <w:gridSpan w:val="2"/>
            <w:vMerge/>
            <w:tcBorders>
              <w:top w:val="nil"/>
              <w:left w:val="single" w:sz="3" w:space="0" w:color="000000"/>
              <w:bottom w:val="nil"/>
              <w:right w:val="nil"/>
            </w:tcBorders>
          </w:tcPr>
          <w:p w14:paraId="18F3EC9E" w14:textId="77777777" w:rsidR="00541219" w:rsidRDefault="00541219">
            <w:pPr>
              <w:spacing w:after="160"/>
              <w:ind w:left="0" w:firstLine="0"/>
            </w:pPr>
          </w:p>
        </w:tc>
      </w:tr>
      <w:tr w:rsidR="00541219" w14:paraId="366794E6"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1EE4095C" w14:textId="77777777" w:rsidR="00541219" w:rsidRDefault="00000000">
            <w:pPr>
              <w:spacing w:after="0"/>
              <w:ind w:left="497" w:firstLine="0"/>
            </w:pPr>
            <w:r>
              <w:rPr>
                <w:sz w:val="7"/>
              </w:rPr>
              <w:t xml:space="preserve">     V - </w:t>
            </w:r>
            <w:proofErr w:type="gramStart"/>
            <w:r>
              <w:rPr>
                <w:sz w:val="7"/>
              </w:rPr>
              <w:t>alteração</w:t>
            </w:r>
            <w:proofErr w:type="gramEnd"/>
            <w:r>
              <w:rPr>
                <w:sz w:val="7"/>
              </w:rPr>
              <w:t xml:space="preserve"> unilateral do contrato que afete o seu equilíbrio econômico-financeiro, devidamente comprovado pela DISTRIBUIDORA; e</w:t>
            </w:r>
          </w:p>
        </w:tc>
        <w:tc>
          <w:tcPr>
            <w:tcW w:w="0" w:type="auto"/>
            <w:gridSpan w:val="2"/>
            <w:vMerge/>
            <w:tcBorders>
              <w:top w:val="nil"/>
              <w:left w:val="single" w:sz="3" w:space="0" w:color="000000"/>
              <w:bottom w:val="nil"/>
              <w:right w:val="nil"/>
            </w:tcBorders>
          </w:tcPr>
          <w:p w14:paraId="2D47CBF1" w14:textId="77777777" w:rsidR="00541219" w:rsidRDefault="00541219">
            <w:pPr>
              <w:spacing w:after="160"/>
              <w:ind w:left="0" w:firstLine="0"/>
            </w:pPr>
          </w:p>
        </w:tc>
      </w:tr>
      <w:tr w:rsidR="00541219" w14:paraId="2EDDE0EB" w14:textId="77777777">
        <w:trPr>
          <w:trHeight w:val="91"/>
        </w:trPr>
        <w:tc>
          <w:tcPr>
            <w:tcW w:w="3727" w:type="dxa"/>
            <w:tcBorders>
              <w:top w:val="single" w:sz="3" w:space="0" w:color="000000"/>
              <w:left w:val="single" w:sz="3" w:space="0" w:color="000000"/>
              <w:bottom w:val="single" w:sz="3" w:space="0" w:color="000000"/>
              <w:right w:val="single" w:sz="3" w:space="0" w:color="000000"/>
            </w:tcBorders>
          </w:tcPr>
          <w:p w14:paraId="3EC805CF" w14:textId="77777777" w:rsidR="00541219" w:rsidRDefault="00000000">
            <w:pPr>
              <w:spacing w:after="0"/>
              <w:ind w:left="0" w:right="36" w:firstLine="0"/>
              <w:jc w:val="center"/>
            </w:pPr>
            <w:r>
              <w:rPr>
                <w:sz w:val="7"/>
              </w:rPr>
              <w:t xml:space="preserve">     VI - </w:t>
            </w:r>
            <w:proofErr w:type="gramStart"/>
            <w:r>
              <w:rPr>
                <w:sz w:val="7"/>
              </w:rPr>
              <w:t>indenização</w:t>
            </w:r>
            <w:proofErr w:type="gramEnd"/>
            <w:r>
              <w:rPr>
                <w:sz w:val="7"/>
              </w:rPr>
              <w:t xml:space="preserve"> dos ativos regulatórios não amortizados ao termo do Contrato.</w:t>
            </w:r>
          </w:p>
        </w:tc>
        <w:tc>
          <w:tcPr>
            <w:tcW w:w="0" w:type="auto"/>
            <w:gridSpan w:val="2"/>
            <w:vMerge/>
            <w:tcBorders>
              <w:top w:val="nil"/>
              <w:left w:val="single" w:sz="3" w:space="0" w:color="000000"/>
              <w:bottom w:val="nil"/>
              <w:right w:val="nil"/>
            </w:tcBorders>
          </w:tcPr>
          <w:p w14:paraId="1A93B044" w14:textId="77777777" w:rsidR="00541219" w:rsidRDefault="00541219">
            <w:pPr>
              <w:spacing w:after="160"/>
              <w:ind w:left="0" w:firstLine="0"/>
            </w:pPr>
          </w:p>
        </w:tc>
      </w:tr>
      <w:tr w:rsidR="00541219" w14:paraId="48DD92F8"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110A6467" w14:textId="77777777" w:rsidR="00541219" w:rsidRDefault="00000000">
            <w:pPr>
              <w:spacing w:after="0"/>
              <w:ind w:left="0" w:firstLine="0"/>
            </w:pPr>
            <w:r>
              <w:rPr>
                <w:sz w:val="7"/>
              </w:rPr>
              <w:t>Subcláusula Terceira - a ocorrência de eventos de força maior ou caso fortuito será tratada nos termos da regulação, sendo responsabilidade da DISTRIBUIDORA a prestação do serviço adequado nas condições possíveis.</w:t>
            </w:r>
          </w:p>
        </w:tc>
        <w:tc>
          <w:tcPr>
            <w:tcW w:w="0" w:type="auto"/>
            <w:gridSpan w:val="2"/>
            <w:vMerge/>
            <w:tcBorders>
              <w:top w:val="nil"/>
              <w:left w:val="single" w:sz="3" w:space="0" w:color="000000"/>
              <w:bottom w:val="nil"/>
              <w:right w:val="nil"/>
            </w:tcBorders>
          </w:tcPr>
          <w:p w14:paraId="56BA6C67" w14:textId="77777777" w:rsidR="00541219" w:rsidRDefault="00541219">
            <w:pPr>
              <w:spacing w:after="160"/>
              <w:ind w:left="0" w:firstLine="0"/>
            </w:pPr>
          </w:p>
        </w:tc>
      </w:tr>
      <w:tr w:rsidR="00541219" w14:paraId="74059C1B" w14:textId="77777777">
        <w:trPr>
          <w:trHeight w:val="226"/>
        </w:trPr>
        <w:tc>
          <w:tcPr>
            <w:tcW w:w="3727" w:type="dxa"/>
            <w:tcBorders>
              <w:top w:val="single" w:sz="3" w:space="0" w:color="000000"/>
              <w:left w:val="single" w:sz="3" w:space="0" w:color="000000"/>
              <w:bottom w:val="single" w:sz="3" w:space="0" w:color="000000"/>
              <w:right w:val="single" w:sz="3" w:space="0" w:color="000000"/>
            </w:tcBorders>
            <w:shd w:val="clear" w:color="auto" w:fill="CFE2F3"/>
          </w:tcPr>
          <w:p w14:paraId="775C0EFB" w14:textId="77777777" w:rsidR="00541219" w:rsidRDefault="00000000">
            <w:pPr>
              <w:spacing w:after="2"/>
              <w:ind w:left="2" w:firstLine="0"/>
            </w:pPr>
            <w:r>
              <w:t xml:space="preserve">CLÁUSULA DÉCIMA SEXTA – MODO AMIGÁVEL DE SOLUÇÃO DE DIVERGÊNCIAS E </w:t>
            </w:r>
          </w:p>
          <w:p w14:paraId="21B799B0" w14:textId="77777777" w:rsidR="00541219" w:rsidRDefault="00000000">
            <w:pPr>
              <w:spacing w:after="0"/>
              <w:ind w:left="2" w:firstLine="0"/>
            </w:pPr>
            <w:r>
              <w:t>FORO DO CONTRATO</w:t>
            </w:r>
          </w:p>
        </w:tc>
        <w:tc>
          <w:tcPr>
            <w:tcW w:w="0" w:type="auto"/>
            <w:gridSpan w:val="2"/>
            <w:vMerge/>
            <w:tcBorders>
              <w:top w:val="nil"/>
              <w:left w:val="single" w:sz="3" w:space="0" w:color="000000"/>
              <w:bottom w:val="nil"/>
              <w:right w:val="nil"/>
            </w:tcBorders>
          </w:tcPr>
          <w:p w14:paraId="1B8FBAFF" w14:textId="77777777" w:rsidR="00541219" w:rsidRDefault="00541219">
            <w:pPr>
              <w:spacing w:after="160"/>
              <w:ind w:left="0" w:firstLine="0"/>
            </w:pPr>
          </w:p>
        </w:tc>
      </w:tr>
      <w:tr w:rsidR="00541219" w14:paraId="0B72F69F" w14:textId="77777777">
        <w:trPr>
          <w:trHeight w:val="365"/>
        </w:trPr>
        <w:tc>
          <w:tcPr>
            <w:tcW w:w="3727" w:type="dxa"/>
            <w:tcBorders>
              <w:top w:val="single" w:sz="3" w:space="0" w:color="000000"/>
              <w:left w:val="single" w:sz="3" w:space="0" w:color="000000"/>
              <w:bottom w:val="single" w:sz="3" w:space="0" w:color="000000"/>
              <w:right w:val="single" w:sz="3" w:space="0" w:color="000000"/>
            </w:tcBorders>
          </w:tcPr>
          <w:p w14:paraId="16429EFD" w14:textId="77777777" w:rsidR="00541219" w:rsidRDefault="00000000">
            <w:pPr>
              <w:spacing w:after="0"/>
              <w:ind w:left="0" w:right="127" w:firstLine="0"/>
              <w:jc w:val="both"/>
            </w:pPr>
            <w:r>
              <w:rPr>
                <w:sz w:val="7"/>
              </w:rPr>
              <w:t>Resguardado o interesse público, na hipótese de divergência na interpretação de dispositivos do presente CONTRATO, a DISTRIBUIDORA poderá solicitar às áreas organizacionais da ANEEL afetas ao assunto a realização de audiências com a finalidade de harmonizar os entendimentos, conforme procedimento aplicável.</w:t>
            </w:r>
          </w:p>
        </w:tc>
        <w:tc>
          <w:tcPr>
            <w:tcW w:w="0" w:type="auto"/>
            <w:gridSpan w:val="2"/>
            <w:vMerge/>
            <w:tcBorders>
              <w:top w:val="nil"/>
              <w:left w:val="single" w:sz="3" w:space="0" w:color="000000"/>
              <w:bottom w:val="nil"/>
              <w:right w:val="nil"/>
            </w:tcBorders>
          </w:tcPr>
          <w:p w14:paraId="14DA0809" w14:textId="77777777" w:rsidR="00541219" w:rsidRDefault="00541219">
            <w:pPr>
              <w:spacing w:after="160"/>
              <w:ind w:left="0" w:firstLine="0"/>
            </w:pPr>
          </w:p>
        </w:tc>
      </w:tr>
      <w:tr w:rsidR="00541219" w14:paraId="5E821066" w14:textId="77777777">
        <w:trPr>
          <w:trHeight w:val="330"/>
        </w:trPr>
        <w:tc>
          <w:tcPr>
            <w:tcW w:w="3727" w:type="dxa"/>
            <w:tcBorders>
              <w:top w:val="single" w:sz="3" w:space="0" w:color="000000"/>
              <w:left w:val="single" w:sz="3" w:space="0" w:color="000000"/>
              <w:bottom w:val="double" w:sz="3" w:space="0" w:color="000000"/>
              <w:right w:val="single" w:sz="3" w:space="0" w:color="000000"/>
            </w:tcBorders>
          </w:tcPr>
          <w:p w14:paraId="546BF1D3" w14:textId="77777777" w:rsidR="00541219" w:rsidRDefault="00000000">
            <w:pPr>
              <w:spacing w:after="0"/>
              <w:ind w:left="0" w:firstLine="0"/>
            </w:pPr>
            <w:r>
              <w:rPr>
                <w:sz w:val="7"/>
              </w:rPr>
              <w:t>Subcláusula Única – Para dirimir as dúvidas não solucionadas de modo amigável, na forma indicada no caput desta Cláusula, fica eleito o Foro da Justiça Federal da Seção Judiciária do Distrito Federal, com renúncia expressa das partes a outros, por mais privilegiados que forem.</w:t>
            </w:r>
          </w:p>
        </w:tc>
        <w:tc>
          <w:tcPr>
            <w:tcW w:w="0" w:type="auto"/>
            <w:gridSpan w:val="2"/>
            <w:vMerge/>
            <w:tcBorders>
              <w:top w:val="nil"/>
              <w:left w:val="single" w:sz="3" w:space="0" w:color="000000"/>
              <w:bottom w:val="nil"/>
              <w:right w:val="nil"/>
            </w:tcBorders>
          </w:tcPr>
          <w:p w14:paraId="4C29111B" w14:textId="77777777" w:rsidR="00541219" w:rsidRDefault="00541219">
            <w:pPr>
              <w:spacing w:after="160"/>
              <w:ind w:left="0" w:firstLine="0"/>
            </w:pPr>
          </w:p>
        </w:tc>
      </w:tr>
      <w:tr w:rsidR="00541219" w14:paraId="0EED1528" w14:textId="77777777">
        <w:trPr>
          <w:trHeight w:val="330"/>
        </w:trPr>
        <w:tc>
          <w:tcPr>
            <w:tcW w:w="3727" w:type="dxa"/>
            <w:tcBorders>
              <w:top w:val="double" w:sz="3" w:space="0" w:color="000000"/>
              <w:left w:val="single" w:sz="3" w:space="0" w:color="000000"/>
              <w:bottom w:val="single" w:sz="3" w:space="0" w:color="000000"/>
              <w:right w:val="single" w:sz="3" w:space="0" w:color="000000"/>
            </w:tcBorders>
          </w:tcPr>
          <w:p w14:paraId="3EBBFFDB" w14:textId="77777777" w:rsidR="00541219" w:rsidRDefault="00000000">
            <w:pPr>
              <w:spacing w:after="0"/>
              <w:ind w:left="2" w:firstLine="0"/>
            </w:pPr>
            <w:r>
              <w:t>CLÁUSULA DÉCIMA SÉTIMA – DELEGAÇÃO DE COMPETÊNCIA</w:t>
            </w:r>
          </w:p>
          <w:p w14:paraId="4D53567D" w14:textId="77777777" w:rsidR="00541219" w:rsidRDefault="00000000">
            <w:pPr>
              <w:spacing w:after="0"/>
              <w:ind w:left="0" w:firstLine="0"/>
            </w:pPr>
            <w:r>
              <w:rPr>
                <w:sz w:val="7"/>
              </w:rPr>
              <w:t>Tendo em vista o disposto no art. 36 da Lei no 9.074/95, e no art. 20 da Lei no 9.427/96, a ANEEL poderá delegar ao Estado de XXXXXX competência para o desempenho das atividades complementares de fiscalização e mediação dos serviços públicos de energia elétrica prestados pela DISTRIBUIDORA.</w:t>
            </w:r>
          </w:p>
        </w:tc>
        <w:tc>
          <w:tcPr>
            <w:tcW w:w="0" w:type="auto"/>
            <w:gridSpan w:val="2"/>
            <w:vMerge/>
            <w:tcBorders>
              <w:top w:val="nil"/>
              <w:left w:val="single" w:sz="3" w:space="0" w:color="000000"/>
              <w:bottom w:val="nil"/>
              <w:right w:val="nil"/>
            </w:tcBorders>
          </w:tcPr>
          <w:p w14:paraId="1129E2C3" w14:textId="77777777" w:rsidR="00541219" w:rsidRDefault="00541219">
            <w:pPr>
              <w:spacing w:after="160"/>
              <w:ind w:left="0" w:firstLine="0"/>
            </w:pPr>
          </w:p>
        </w:tc>
      </w:tr>
      <w:tr w:rsidR="00541219" w14:paraId="5B86AB54" w14:textId="77777777">
        <w:trPr>
          <w:trHeight w:val="239"/>
        </w:trPr>
        <w:tc>
          <w:tcPr>
            <w:tcW w:w="3727" w:type="dxa"/>
            <w:tcBorders>
              <w:top w:val="single" w:sz="3" w:space="0" w:color="000000"/>
              <w:left w:val="single" w:sz="3" w:space="0" w:color="000000"/>
              <w:bottom w:val="double" w:sz="3" w:space="0" w:color="000000"/>
              <w:right w:val="single" w:sz="3" w:space="0" w:color="000000"/>
            </w:tcBorders>
          </w:tcPr>
          <w:p w14:paraId="3851497E" w14:textId="77777777" w:rsidR="00541219" w:rsidRDefault="00000000">
            <w:pPr>
              <w:spacing w:after="0"/>
              <w:ind w:left="0" w:firstLine="0"/>
            </w:pPr>
            <w:r>
              <w:rPr>
                <w:sz w:val="7"/>
              </w:rPr>
              <w:t>Subcláusula Única – A delegação de competência prevista nesta Cláusula será conferida nos termos e condições que vierem a ser definidos em Convênio de Cooperação.</w:t>
            </w:r>
          </w:p>
        </w:tc>
        <w:tc>
          <w:tcPr>
            <w:tcW w:w="0" w:type="auto"/>
            <w:gridSpan w:val="2"/>
            <w:vMerge/>
            <w:tcBorders>
              <w:top w:val="nil"/>
              <w:left w:val="single" w:sz="3" w:space="0" w:color="000000"/>
              <w:bottom w:val="nil"/>
              <w:right w:val="nil"/>
            </w:tcBorders>
          </w:tcPr>
          <w:p w14:paraId="217D35D3" w14:textId="77777777" w:rsidR="00541219" w:rsidRDefault="00541219">
            <w:pPr>
              <w:spacing w:after="160"/>
              <w:ind w:left="0" w:firstLine="0"/>
            </w:pPr>
          </w:p>
        </w:tc>
      </w:tr>
      <w:tr w:rsidR="00541219" w14:paraId="67F46FD3" w14:textId="77777777">
        <w:trPr>
          <w:trHeight w:val="330"/>
        </w:trPr>
        <w:tc>
          <w:tcPr>
            <w:tcW w:w="3727" w:type="dxa"/>
            <w:tcBorders>
              <w:top w:val="double" w:sz="3" w:space="0" w:color="000000"/>
              <w:left w:val="single" w:sz="3" w:space="0" w:color="000000"/>
              <w:bottom w:val="single" w:sz="3" w:space="0" w:color="000000"/>
              <w:right w:val="single" w:sz="3" w:space="0" w:color="000000"/>
            </w:tcBorders>
          </w:tcPr>
          <w:p w14:paraId="5867A0E3" w14:textId="77777777" w:rsidR="00541219" w:rsidRDefault="00000000">
            <w:pPr>
              <w:spacing w:after="0"/>
              <w:ind w:left="2" w:firstLine="0"/>
            </w:pPr>
            <w:r>
              <w:t>CLÁUSULA DÉCIMA OITAVA – DEMAIS DISPOSIÇÕES</w:t>
            </w:r>
          </w:p>
          <w:p w14:paraId="1A940979" w14:textId="77777777" w:rsidR="00541219" w:rsidRDefault="00000000">
            <w:pPr>
              <w:spacing w:after="0"/>
              <w:ind w:left="0" w:right="49" w:firstLine="0"/>
              <w:jc w:val="both"/>
            </w:pPr>
            <w:r>
              <w:rPr>
                <w:sz w:val="7"/>
              </w:rPr>
              <w:t xml:space="preserve">A celebração deste TERMO ADITIVO rescinde para todos os efeitos as cláusulas e subcláusulas do Contrato de Concessão no XX/XX-ANEEL, de XX de </w:t>
            </w:r>
            <w:proofErr w:type="spellStart"/>
            <w:r>
              <w:rPr>
                <w:sz w:val="7"/>
              </w:rPr>
              <w:t>xxxxx</w:t>
            </w:r>
            <w:proofErr w:type="spellEnd"/>
            <w:r>
              <w:rPr>
                <w:sz w:val="7"/>
              </w:rPr>
              <w:t xml:space="preserve"> de XXXX, e dos demais aditivos assinados anteriormente a este TERMO ADITIVO.</w:t>
            </w:r>
          </w:p>
        </w:tc>
        <w:tc>
          <w:tcPr>
            <w:tcW w:w="0" w:type="auto"/>
            <w:gridSpan w:val="2"/>
            <w:vMerge/>
            <w:tcBorders>
              <w:top w:val="nil"/>
              <w:left w:val="single" w:sz="3" w:space="0" w:color="000000"/>
              <w:bottom w:val="nil"/>
              <w:right w:val="nil"/>
            </w:tcBorders>
          </w:tcPr>
          <w:p w14:paraId="3C3C14BD" w14:textId="77777777" w:rsidR="00541219" w:rsidRDefault="00541219">
            <w:pPr>
              <w:spacing w:after="160"/>
              <w:ind w:left="0" w:firstLine="0"/>
            </w:pPr>
          </w:p>
        </w:tc>
      </w:tr>
      <w:tr w:rsidR="00541219" w14:paraId="71A89C46"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2772D156" w14:textId="77777777" w:rsidR="00541219" w:rsidRDefault="00000000">
            <w:pPr>
              <w:spacing w:after="0"/>
              <w:ind w:left="0" w:right="44" w:firstLine="0"/>
              <w:jc w:val="both"/>
            </w:pPr>
            <w:r>
              <w:rPr>
                <w:sz w:val="7"/>
              </w:rPr>
              <w:t>Subcláusula Primeira – A DISTRIBUIDORA aceita na assinatura deste TERMO ADITIVO as condições de prorrogação estabelecidas no presente instrumento jurídico, bem como as disposições do Decreto 12.068, de 20 de junho de 2024.</w:t>
            </w:r>
          </w:p>
        </w:tc>
        <w:tc>
          <w:tcPr>
            <w:tcW w:w="0" w:type="auto"/>
            <w:gridSpan w:val="2"/>
            <w:vMerge/>
            <w:tcBorders>
              <w:top w:val="nil"/>
              <w:left w:val="single" w:sz="3" w:space="0" w:color="000000"/>
              <w:bottom w:val="nil"/>
              <w:right w:val="nil"/>
            </w:tcBorders>
          </w:tcPr>
          <w:p w14:paraId="7AD5A85B" w14:textId="77777777" w:rsidR="00541219" w:rsidRDefault="00541219">
            <w:pPr>
              <w:spacing w:after="160"/>
              <w:ind w:left="0" w:firstLine="0"/>
            </w:pPr>
          </w:p>
        </w:tc>
      </w:tr>
      <w:tr w:rsidR="00541219" w14:paraId="7B288D30"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6C8014F3" w14:textId="77777777" w:rsidR="00541219" w:rsidRDefault="00000000">
            <w:pPr>
              <w:spacing w:after="0"/>
              <w:ind w:left="0" w:firstLine="0"/>
            </w:pPr>
            <w:r>
              <w:rPr>
                <w:sz w:val="7"/>
              </w:rPr>
              <w:t>Subcláusula Segunda - A DISTRIBUIDORA declara a total e irrestrita renúncia à propositura de ações de qualquer natureza decorrentes da relação objeto do presente termo, exceto às previstas na Cláusula Décima Quarta e nas hipóteses em que for necessário garantir a ampla defesa e o contraditório.</w:t>
            </w:r>
          </w:p>
        </w:tc>
        <w:tc>
          <w:tcPr>
            <w:tcW w:w="0" w:type="auto"/>
            <w:gridSpan w:val="2"/>
            <w:vMerge/>
            <w:tcBorders>
              <w:top w:val="nil"/>
              <w:left w:val="single" w:sz="3" w:space="0" w:color="000000"/>
              <w:bottom w:val="nil"/>
              <w:right w:val="nil"/>
            </w:tcBorders>
          </w:tcPr>
          <w:p w14:paraId="08B0A14C" w14:textId="77777777" w:rsidR="00541219" w:rsidRDefault="00541219">
            <w:pPr>
              <w:spacing w:after="160"/>
              <w:ind w:left="0" w:firstLine="0"/>
            </w:pPr>
          </w:p>
        </w:tc>
      </w:tr>
      <w:tr w:rsidR="00541219" w14:paraId="58643D1E"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5DBD6D8F" w14:textId="77777777" w:rsidR="00541219" w:rsidRDefault="00000000">
            <w:pPr>
              <w:spacing w:after="0"/>
              <w:ind w:left="0" w:right="240" w:firstLine="0"/>
              <w:jc w:val="both"/>
            </w:pPr>
            <w:r>
              <w:rPr>
                <w:sz w:val="7"/>
              </w:rPr>
              <w:t>Subcláusula Terceira - A DISTRIBUIDORA declara ter desistido de todas as ações de qualquer natureza existentes antes da assinatura deste TERMO ADITIVO e que conflitem com o presente termo, inclusive as ajuizadas por associação representativa de classe da qual a DISTRIBUIDORA faça parte.</w:t>
            </w:r>
          </w:p>
        </w:tc>
        <w:tc>
          <w:tcPr>
            <w:tcW w:w="0" w:type="auto"/>
            <w:gridSpan w:val="2"/>
            <w:vMerge/>
            <w:tcBorders>
              <w:top w:val="nil"/>
              <w:left w:val="single" w:sz="3" w:space="0" w:color="000000"/>
              <w:bottom w:val="nil"/>
              <w:right w:val="nil"/>
            </w:tcBorders>
          </w:tcPr>
          <w:p w14:paraId="4721025B" w14:textId="77777777" w:rsidR="00541219" w:rsidRDefault="00541219">
            <w:pPr>
              <w:spacing w:after="160"/>
              <w:ind w:left="0" w:firstLine="0"/>
            </w:pPr>
          </w:p>
        </w:tc>
      </w:tr>
      <w:tr w:rsidR="00541219" w14:paraId="7455FEEB"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18897C7F" w14:textId="77777777" w:rsidR="00541219" w:rsidRDefault="00000000">
            <w:pPr>
              <w:spacing w:after="0"/>
              <w:ind w:left="0" w:firstLine="0"/>
            </w:pPr>
            <w:r>
              <w:rPr>
                <w:sz w:val="7"/>
              </w:rPr>
              <w:t xml:space="preserve">Subcláusula Quarta - A DISTRIBUIDORA </w:t>
            </w:r>
            <w:proofErr w:type="spellStart"/>
            <w:proofErr w:type="gramStart"/>
            <w:r>
              <w:rPr>
                <w:sz w:val="7"/>
              </w:rPr>
              <w:t>renuncia</w:t>
            </w:r>
            <w:proofErr w:type="spellEnd"/>
            <w:proofErr w:type="gramEnd"/>
            <w:r>
              <w:rPr>
                <w:sz w:val="7"/>
              </w:rPr>
              <w:t>, em caráter irrevogável e irretratável, a eventuais direitos preexistentes contra a União relativos à concessão, decorrentes de eventos anteriores à assinatura deste TERMO ADITIVO.</w:t>
            </w:r>
          </w:p>
        </w:tc>
        <w:tc>
          <w:tcPr>
            <w:tcW w:w="0" w:type="auto"/>
            <w:gridSpan w:val="2"/>
            <w:vMerge/>
            <w:tcBorders>
              <w:top w:val="nil"/>
              <w:left w:val="single" w:sz="3" w:space="0" w:color="000000"/>
              <w:bottom w:val="nil"/>
              <w:right w:val="nil"/>
            </w:tcBorders>
          </w:tcPr>
          <w:p w14:paraId="6D79CA62" w14:textId="77777777" w:rsidR="00541219" w:rsidRDefault="00541219">
            <w:pPr>
              <w:spacing w:after="160"/>
              <w:ind w:left="0" w:firstLine="0"/>
            </w:pPr>
          </w:p>
        </w:tc>
      </w:tr>
      <w:tr w:rsidR="00541219" w14:paraId="5DB8DB49" w14:textId="77777777">
        <w:trPr>
          <w:trHeight w:val="274"/>
        </w:trPr>
        <w:tc>
          <w:tcPr>
            <w:tcW w:w="3727" w:type="dxa"/>
            <w:tcBorders>
              <w:top w:val="single" w:sz="3" w:space="0" w:color="000000"/>
              <w:left w:val="single" w:sz="3" w:space="0" w:color="000000"/>
              <w:bottom w:val="single" w:sz="3" w:space="0" w:color="000000"/>
              <w:right w:val="single" w:sz="3" w:space="0" w:color="000000"/>
            </w:tcBorders>
          </w:tcPr>
          <w:p w14:paraId="22217E2D" w14:textId="77777777" w:rsidR="00541219" w:rsidRDefault="00000000">
            <w:pPr>
              <w:spacing w:after="0"/>
              <w:ind w:left="0" w:firstLine="0"/>
            </w:pPr>
            <w:r>
              <w:rPr>
                <w:sz w:val="7"/>
              </w:rPr>
              <w:t>Subcláusula Quinta - A desistência de que trata esta Cláusula deve ser comprovada por meio da apresentação de cópia do protocolo do requerimento de extinção do processo com resolução de mérito, nos termos da alínea “c” do inciso III do caput do art. 487, do Código de Processo Civil.</w:t>
            </w:r>
          </w:p>
        </w:tc>
        <w:tc>
          <w:tcPr>
            <w:tcW w:w="0" w:type="auto"/>
            <w:gridSpan w:val="2"/>
            <w:vMerge/>
            <w:tcBorders>
              <w:top w:val="nil"/>
              <w:left w:val="single" w:sz="3" w:space="0" w:color="000000"/>
              <w:bottom w:val="nil"/>
              <w:right w:val="nil"/>
            </w:tcBorders>
          </w:tcPr>
          <w:p w14:paraId="79F2411C" w14:textId="77777777" w:rsidR="00541219" w:rsidRDefault="00541219">
            <w:pPr>
              <w:spacing w:after="160"/>
              <w:ind w:left="0" w:firstLine="0"/>
            </w:pPr>
          </w:p>
        </w:tc>
      </w:tr>
      <w:tr w:rsidR="00541219" w14:paraId="61DEEC7F" w14:textId="77777777">
        <w:trPr>
          <w:trHeight w:val="239"/>
        </w:trPr>
        <w:tc>
          <w:tcPr>
            <w:tcW w:w="3727" w:type="dxa"/>
            <w:tcBorders>
              <w:top w:val="single" w:sz="3" w:space="0" w:color="000000"/>
              <w:left w:val="single" w:sz="3" w:space="0" w:color="000000"/>
              <w:bottom w:val="double" w:sz="3" w:space="0" w:color="000000"/>
              <w:right w:val="single" w:sz="3" w:space="0" w:color="000000"/>
            </w:tcBorders>
          </w:tcPr>
          <w:p w14:paraId="17C17323" w14:textId="77777777" w:rsidR="00541219" w:rsidRDefault="00000000">
            <w:pPr>
              <w:spacing w:after="0"/>
              <w:ind w:left="0" w:firstLine="0"/>
              <w:jc w:val="both"/>
            </w:pPr>
            <w:r>
              <w:rPr>
                <w:sz w:val="7"/>
              </w:rPr>
              <w:t>Subcláusula Sexta - A DISTRIBUIDORA declara ter recolhido todas as multas com trânsito em julgado administrativo decorrentes de ação fiscalizatória da ANEEL.</w:t>
            </w:r>
          </w:p>
        </w:tc>
        <w:tc>
          <w:tcPr>
            <w:tcW w:w="0" w:type="auto"/>
            <w:gridSpan w:val="2"/>
            <w:vMerge/>
            <w:tcBorders>
              <w:top w:val="nil"/>
              <w:left w:val="single" w:sz="3" w:space="0" w:color="000000"/>
              <w:bottom w:val="nil"/>
              <w:right w:val="nil"/>
            </w:tcBorders>
          </w:tcPr>
          <w:p w14:paraId="736AC39A" w14:textId="77777777" w:rsidR="00541219" w:rsidRDefault="00541219">
            <w:pPr>
              <w:spacing w:after="160"/>
              <w:ind w:left="0" w:firstLine="0"/>
            </w:pPr>
          </w:p>
        </w:tc>
      </w:tr>
      <w:tr w:rsidR="00541219" w14:paraId="3A4A0791" w14:textId="77777777">
        <w:trPr>
          <w:trHeight w:val="239"/>
        </w:trPr>
        <w:tc>
          <w:tcPr>
            <w:tcW w:w="3727" w:type="dxa"/>
            <w:tcBorders>
              <w:top w:val="double" w:sz="3" w:space="0" w:color="000000"/>
              <w:left w:val="single" w:sz="3" w:space="0" w:color="000000"/>
              <w:bottom w:val="single" w:sz="3" w:space="0" w:color="000000"/>
              <w:right w:val="single" w:sz="3" w:space="0" w:color="000000"/>
            </w:tcBorders>
          </w:tcPr>
          <w:p w14:paraId="4023A039" w14:textId="77777777" w:rsidR="00541219" w:rsidRDefault="00000000">
            <w:pPr>
              <w:spacing w:after="0"/>
              <w:ind w:left="2" w:firstLine="0"/>
            </w:pPr>
            <w:r>
              <w:t>CLÁUSULA DÉCIMA NONA – PUBLICAÇÃO E REGISTRO DO TERMO ADITIVO</w:t>
            </w:r>
          </w:p>
          <w:p w14:paraId="31C68D9D" w14:textId="77777777" w:rsidR="00541219" w:rsidRDefault="00000000">
            <w:pPr>
              <w:spacing w:after="0"/>
              <w:ind w:left="0" w:firstLine="0"/>
              <w:jc w:val="both"/>
            </w:pPr>
            <w:r>
              <w:rPr>
                <w:sz w:val="7"/>
              </w:rPr>
              <w:t>O presente TERMO ADITIVO será registrado e arquivado na ANEEL, que providenciará, dentro dos 20 (vinte) dias de sua assinatura, a publicação de seu extrato no Diário Oficial.</w:t>
            </w:r>
          </w:p>
        </w:tc>
        <w:tc>
          <w:tcPr>
            <w:tcW w:w="0" w:type="auto"/>
            <w:gridSpan w:val="2"/>
            <w:vMerge/>
            <w:tcBorders>
              <w:top w:val="nil"/>
              <w:left w:val="single" w:sz="3" w:space="0" w:color="000000"/>
              <w:bottom w:val="nil"/>
              <w:right w:val="nil"/>
            </w:tcBorders>
          </w:tcPr>
          <w:p w14:paraId="293390E2" w14:textId="77777777" w:rsidR="00541219" w:rsidRDefault="00541219">
            <w:pPr>
              <w:spacing w:after="160"/>
              <w:ind w:left="0" w:firstLine="0"/>
            </w:pPr>
          </w:p>
        </w:tc>
      </w:tr>
      <w:tr w:rsidR="00541219" w14:paraId="16F91A4C" w14:textId="77777777">
        <w:trPr>
          <w:trHeight w:val="421"/>
        </w:trPr>
        <w:tc>
          <w:tcPr>
            <w:tcW w:w="3727" w:type="dxa"/>
            <w:tcBorders>
              <w:top w:val="single" w:sz="3" w:space="0" w:color="000000"/>
              <w:left w:val="single" w:sz="3" w:space="0" w:color="000000"/>
              <w:bottom w:val="double" w:sz="3" w:space="0" w:color="000000"/>
              <w:right w:val="single" w:sz="3" w:space="0" w:color="000000"/>
            </w:tcBorders>
          </w:tcPr>
          <w:p w14:paraId="45111ADF" w14:textId="77777777" w:rsidR="00541219" w:rsidRDefault="00000000">
            <w:pPr>
              <w:spacing w:after="0"/>
              <w:ind w:left="0" w:firstLine="0"/>
            </w:pPr>
            <w:r>
              <w:rPr>
                <w:sz w:val="7"/>
              </w:rPr>
              <w:t>Assim estando ajustado, fizeram as partes lavrar o presente instrumento, em 4 (quatro) vias de igual teor que são assinadas pelos representantes do Ministério de Minas e Energia, da DISTRIBUIDORA e do(s) ACIONISTA(S) CONTROLADOR(ES) (ou SÓCIO(S) QUOTISTA(S)), juntamente com as testemunhas abaixo, para os devidos efeitos legais.</w:t>
            </w:r>
          </w:p>
        </w:tc>
        <w:tc>
          <w:tcPr>
            <w:tcW w:w="0" w:type="auto"/>
            <w:gridSpan w:val="2"/>
            <w:vMerge/>
            <w:tcBorders>
              <w:top w:val="nil"/>
              <w:left w:val="single" w:sz="3" w:space="0" w:color="000000"/>
              <w:bottom w:val="nil"/>
              <w:right w:val="nil"/>
            </w:tcBorders>
          </w:tcPr>
          <w:p w14:paraId="3C40A4A5" w14:textId="77777777" w:rsidR="00541219" w:rsidRDefault="00541219">
            <w:pPr>
              <w:spacing w:after="160"/>
              <w:ind w:left="0" w:firstLine="0"/>
            </w:pPr>
          </w:p>
        </w:tc>
      </w:tr>
      <w:tr w:rsidR="00541219" w14:paraId="5E179F2D" w14:textId="77777777">
        <w:trPr>
          <w:trHeight w:val="421"/>
        </w:trPr>
        <w:tc>
          <w:tcPr>
            <w:tcW w:w="3727" w:type="dxa"/>
            <w:tcBorders>
              <w:top w:val="double" w:sz="3" w:space="0" w:color="000000"/>
              <w:left w:val="single" w:sz="3" w:space="0" w:color="000000"/>
              <w:bottom w:val="single" w:sz="3" w:space="0" w:color="000000"/>
              <w:right w:val="single" w:sz="3" w:space="0" w:color="000000"/>
            </w:tcBorders>
          </w:tcPr>
          <w:p w14:paraId="6D728C9B" w14:textId="77777777" w:rsidR="00541219" w:rsidRDefault="00000000">
            <w:pPr>
              <w:spacing w:after="0"/>
              <w:ind w:left="2" w:firstLine="0"/>
            </w:pPr>
            <w:r>
              <w:t>CLÁUSULA VIGÉSIMA – CONDIÇÕES DE MANUTENÇÃO CONTRATUAL</w:t>
            </w:r>
          </w:p>
          <w:p w14:paraId="5E88FC96" w14:textId="77777777" w:rsidR="00541219" w:rsidRDefault="00000000">
            <w:pPr>
              <w:spacing w:after="0"/>
              <w:ind w:left="0" w:firstLine="0"/>
            </w:pPr>
            <w:r>
              <w:rPr>
                <w:sz w:val="7"/>
              </w:rPr>
              <w:t xml:space="preserve">Como alternativa ao não cumprimento das exigências para a prorrogação contratual definidas no Decreto no </w:t>
            </w:r>
          </w:p>
          <w:p w14:paraId="484EDE15" w14:textId="77777777" w:rsidR="00541219" w:rsidRDefault="00000000">
            <w:pPr>
              <w:spacing w:after="0"/>
              <w:ind w:left="0" w:firstLine="0"/>
            </w:pPr>
            <w:r>
              <w:rPr>
                <w:sz w:val="7"/>
              </w:rPr>
              <w:t xml:space="preserve">12.068, de 2024, referentes ao critério de eficiência com relação a gestão </w:t>
            </w:r>
            <w:proofErr w:type="gramStart"/>
            <w:r>
              <w:rPr>
                <w:sz w:val="7"/>
              </w:rPr>
              <w:t>econômico- financeira</w:t>
            </w:r>
            <w:proofErr w:type="gramEnd"/>
            <w:r>
              <w:rPr>
                <w:sz w:val="7"/>
              </w:rPr>
              <w:t xml:space="preserve">, a </w:t>
            </w:r>
          </w:p>
          <w:p w14:paraId="14AAB26F" w14:textId="77777777" w:rsidR="00541219" w:rsidRDefault="00000000">
            <w:pPr>
              <w:spacing w:after="0"/>
              <w:ind w:left="0" w:firstLine="0"/>
            </w:pPr>
            <w:r>
              <w:rPr>
                <w:sz w:val="7"/>
              </w:rPr>
              <w:t>DISTRIBUIDORA deverá promover aporte de capital necessário à sustentabilidade econômica e financeira da concessão, na forma e montante definidos nessa Cláusula.</w:t>
            </w:r>
          </w:p>
        </w:tc>
        <w:tc>
          <w:tcPr>
            <w:tcW w:w="0" w:type="auto"/>
            <w:gridSpan w:val="2"/>
            <w:vMerge/>
            <w:tcBorders>
              <w:top w:val="nil"/>
              <w:left w:val="single" w:sz="3" w:space="0" w:color="000000"/>
              <w:bottom w:val="nil"/>
              <w:right w:val="nil"/>
            </w:tcBorders>
          </w:tcPr>
          <w:p w14:paraId="738C07E4" w14:textId="77777777" w:rsidR="00541219" w:rsidRDefault="00541219">
            <w:pPr>
              <w:spacing w:after="160"/>
              <w:ind w:left="0" w:firstLine="0"/>
            </w:pPr>
          </w:p>
        </w:tc>
      </w:tr>
      <w:tr w:rsidR="00541219" w14:paraId="0A134FB3"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4B426A2C" w14:textId="77777777" w:rsidR="00541219" w:rsidRDefault="00000000">
            <w:pPr>
              <w:spacing w:after="0"/>
              <w:ind w:left="0" w:firstLine="0"/>
              <w:jc w:val="both"/>
            </w:pPr>
            <w:r>
              <w:rPr>
                <w:sz w:val="7"/>
              </w:rPr>
              <w:t>Subcláusula Primeira - O aporte de capital será de, no mínimo, R$ XXX ([...] bilhão(</w:t>
            </w:r>
            <w:proofErr w:type="spellStart"/>
            <w:r>
              <w:rPr>
                <w:sz w:val="7"/>
              </w:rPr>
              <w:t>ôes</w:t>
            </w:r>
            <w:proofErr w:type="spellEnd"/>
            <w:r>
              <w:rPr>
                <w:sz w:val="7"/>
              </w:rPr>
              <w:t>), [...] milhão(</w:t>
            </w:r>
            <w:proofErr w:type="spellStart"/>
            <w:r>
              <w:rPr>
                <w:sz w:val="7"/>
              </w:rPr>
              <w:t>ôes</w:t>
            </w:r>
            <w:proofErr w:type="spellEnd"/>
            <w:r>
              <w:rPr>
                <w:sz w:val="7"/>
              </w:rPr>
              <w:t>), [...] mil, [...] real(</w:t>
            </w:r>
            <w:proofErr w:type="spellStart"/>
            <w:r>
              <w:rPr>
                <w:sz w:val="7"/>
              </w:rPr>
              <w:t>is</w:t>
            </w:r>
            <w:proofErr w:type="spellEnd"/>
            <w:r>
              <w:rPr>
                <w:sz w:val="7"/>
              </w:rPr>
              <w:t>) e [...] centavo(s).</w:t>
            </w:r>
          </w:p>
        </w:tc>
        <w:tc>
          <w:tcPr>
            <w:tcW w:w="0" w:type="auto"/>
            <w:gridSpan w:val="2"/>
            <w:vMerge/>
            <w:tcBorders>
              <w:top w:val="nil"/>
              <w:left w:val="single" w:sz="3" w:space="0" w:color="000000"/>
              <w:bottom w:val="nil"/>
              <w:right w:val="nil"/>
            </w:tcBorders>
          </w:tcPr>
          <w:p w14:paraId="4DEFF83E" w14:textId="77777777" w:rsidR="00541219" w:rsidRDefault="00541219">
            <w:pPr>
              <w:spacing w:after="160"/>
              <w:ind w:left="0" w:firstLine="0"/>
            </w:pPr>
          </w:p>
        </w:tc>
      </w:tr>
      <w:tr w:rsidR="00541219" w14:paraId="7F45E5BA" w14:textId="77777777">
        <w:trPr>
          <w:trHeight w:val="365"/>
        </w:trPr>
        <w:tc>
          <w:tcPr>
            <w:tcW w:w="3727" w:type="dxa"/>
            <w:tcBorders>
              <w:top w:val="single" w:sz="3" w:space="0" w:color="000000"/>
              <w:left w:val="single" w:sz="3" w:space="0" w:color="000000"/>
              <w:bottom w:val="single" w:sz="3" w:space="0" w:color="000000"/>
              <w:right w:val="single" w:sz="3" w:space="0" w:color="000000"/>
            </w:tcBorders>
          </w:tcPr>
          <w:p w14:paraId="21E52C18" w14:textId="77777777" w:rsidR="00541219" w:rsidRDefault="00000000">
            <w:pPr>
              <w:spacing w:after="0"/>
              <w:ind w:left="497" w:firstLine="0"/>
            </w:pPr>
            <w:r>
              <w:rPr>
                <w:sz w:val="7"/>
              </w:rPr>
              <w:t xml:space="preserve">     I – </w:t>
            </w:r>
            <w:proofErr w:type="gramStart"/>
            <w:r>
              <w:rPr>
                <w:sz w:val="7"/>
              </w:rPr>
              <w:t>o</w:t>
            </w:r>
            <w:proofErr w:type="gramEnd"/>
            <w:r>
              <w:rPr>
                <w:sz w:val="7"/>
              </w:rPr>
              <w:t xml:space="preserve"> aporte de capital deverá ser em Caixa ou Equivalentes de Caixa ou pela conversão de Empréstimos Passivos, em contrapartida de Integralização de Capital Social ou de Adiantamento para Futuro Aumento de Capital, no prazo de noventa dias, contado da celebração do termo aditivo ao contrato de concessão.</w:t>
            </w:r>
          </w:p>
        </w:tc>
        <w:tc>
          <w:tcPr>
            <w:tcW w:w="0" w:type="auto"/>
            <w:gridSpan w:val="2"/>
            <w:vMerge/>
            <w:tcBorders>
              <w:top w:val="nil"/>
              <w:left w:val="single" w:sz="3" w:space="0" w:color="000000"/>
              <w:bottom w:val="nil"/>
              <w:right w:val="nil"/>
            </w:tcBorders>
          </w:tcPr>
          <w:p w14:paraId="6FD952AF" w14:textId="77777777" w:rsidR="00541219" w:rsidRDefault="00541219">
            <w:pPr>
              <w:spacing w:after="160"/>
              <w:ind w:left="0" w:firstLine="0"/>
            </w:pPr>
          </w:p>
        </w:tc>
      </w:tr>
      <w:tr w:rsidR="00541219" w14:paraId="2889D8D5" w14:textId="77777777">
        <w:trPr>
          <w:trHeight w:val="365"/>
        </w:trPr>
        <w:tc>
          <w:tcPr>
            <w:tcW w:w="3727" w:type="dxa"/>
            <w:tcBorders>
              <w:top w:val="single" w:sz="3" w:space="0" w:color="000000"/>
              <w:left w:val="single" w:sz="3" w:space="0" w:color="000000"/>
              <w:bottom w:val="single" w:sz="3" w:space="0" w:color="000000"/>
              <w:right w:val="single" w:sz="3" w:space="0" w:color="000000"/>
            </w:tcBorders>
          </w:tcPr>
          <w:p w14:paraId="378B0EFA" w14:textId="77777777" w:rsidR="00541219" w:rsidRDefault="00000000">
            <w:pPr>
              <w:spacing w:after="0"/>
              <w:ind w:left="497" w:firstLine="0"/>
            </w:pPr>
            <w:r>
              <w:rPr>
                <w:sz w:val="7"/>
              </w:rPr>
              <w:t xml:space="preserve">     II - </w:t>
            </w:r>
            <w:proofErr w:type="gramStart"/>
            <w:r>
              <w:rPr>
                <w:sz w:val="7"/>
              </w:rPr>
              <w:t>o</w:t>
            </w:r>
            <w:proofErr w:type="gramEnd"/>
            <w:r>
              <w:rPr>
                <w:sz w:val="7"/>
              </w:rPr>
              <w:t xml:space="preserve"> Adiantamento para Futuro Aumento de Capital deverá ser registrado na conta contábil 2405.1 - Recursos Destinados a Aumento de Capital - Adiantamento, não podendo haver devolução dos recursos ao(s) Sócio(s) Controlador(es), devendo ser convertido em Capital Social em até 90 dias.</w:t>
            </w:r>
          </w:p>
        </w:tc>
        <w:tc>
          <w:tcPr>
            <w:tcW w:w="0" w:type="auto"/>
            <w:gridSpan w:val="2"/>
            <w:vMerge/>
            <w:tcBorders>
              <w:top w:val="nil"/>
              <w:left w:val="single" w:sz="3" w:space="0" w:color="000000"/>
              <w:bottom w:val="nil"/>
              <w:right w:val="nil"/>
            </w:tcBorders>
          </w:tcPr>
          <w:p w14:paraId="6CCA50C7" w14:textId="77777777" w:rsidR="00541219" w:rsidRDefault="00541219">
            <w:pPr>
              <w:spacing w:after="160"/>
              <w:ind w:left="0" w:firstLine="0"/>
            </w:pPr>
          </w:p>
        </w:tc>
      </w:tr>
      <w:tr w:rsidR="00541219" w14:paraId="2F9749B5" w14:textId="77777777">
        <w:trPr>
          <w:trHeight w:val="182"/>
        </w:trPr>
        <w:tc>
          <w:tcPr>
            <w:tcW w:w="3727" w:type="dxa"/>
            <w:tcBorders>
              <w:top w:val="single" w:sz="3" w:space="0" w:color="000000"/>
              <w:left w:val="single" w:sz="3" w:space="0" w:color="000000"/>
              <w:bottom w:val="single" w:sz="3" w:space="0" w:color="000000"/>
              <w:right w:val="single" w:sz="3" w:space="0" w:color="000000"/>
            </w:tcBorders>
          </w:tcPr>
          <w:p w14:paraId="4B5024A4" w14:textId="77777777" w:rsidR="00541219" w:rsidRDefault="00000000">
            <w:pPr>
              <w:spacing w:after="0"/>
              <w:ind w:left="0" w:right="16" w:firstLine="0"/>
            </w:pPr>
            <w:r>
              <w:rPr>
                <w:sz w:val="7"/>
              </w:rPr>
              <w:t xml:space="preserve">Subcláusula Segunda - A não efetivação do aporte de capital no prazo estabelecido </w:t>
            </w:r>
            <w:proofErr w:type="gramStart"/>
            <w:r>
              <w:rPr>
                <w:sz w:val="7"/>
              </w:rPr>
              <w:t>do incisos</w:t>
            </w:r>
            <w:proofErr w:type="gramEnd"/>
            <w:r>
              <w:rPr>
                <w:sz w:val="7"/>
              </w:rPr>
              <w:t xml:space="preserve"> I da Subcláusula Primeira:</w:t>
            </w:r>
          </w:p>
        </w:tc>
        <w:tc>
          <w:tcPr>
            <w:tcW w:w="0" w:type="auto"/>
            <w:gridSpan w:val="2"/>
            <w:vMerge/>
            <w:tcBorders>
              <w:top w:val="nil"/>
              <w:left w:val="single" w:sz="3" w:space="0" w:color="000000"/>
              <w:bottom w:val="nil"/>
              <w:right w:val="nil"/>
            </w:tcBorders>
          </w:tcPr>
          <w:p w14:paraId="5C9A896F" w14:textId="77777777" w:rsidR="00541219" w:rsidRDefault="00541219">
            <w:pPr>
              <w:spacing w:after="160"/>
              <w:ind w:left="0" w:firstLine="0"/>
            </w:pPr>
          </w:p>
        </w:tc>
      </w:tr>
      <w:tr w:rsidR="00541219" w14:paraId="14A4088A" w14:textId="77777777">
        <w:trPr>
          <w:trHeight w:val="91"/>
        </w:trPr>
        <w:tc>
          <w:tcPr>
            <w:tcW w:w="3727" w:type="dxa"/>
            <w:tcBorders>
              <w:top w:val="single" w:sz="3" w:space="0" w:color="000000"/>
              <w:left w:val="single" w:sz="3" w:space="0" w:color="000000"/>
              <w:bottom w:val="single" w:sz="3" w:space="0" w:color="000000"/>
              <w:right w:val="single" w:sz="3" w:space="0" w:color="000000"/>
            </w:tcBorders>
          </w:tcPr>
          <w:p w14:paraId="59F36B2F" w14:textId="77777777" w:rsidR="00541219" w:rsidRDefault="00000000">
            <w:pPr>
              <w:spacing w:after="0"/>
              <w:ind w:left="497" w:firstLine="0"/>
            </w:pPr>
            <w:r>
              <w:rPr>
                <w:sz w:val="7"/>
              </w:rPr>
              <w:t xml:space="preserve">     I - </w:t>
            </w:r>
            <w:proofErr w:type="gramStart"/>
            <w:r>
              <w:rPr>
                <w:sz w:val="7"/>
              </w:rPr>
              <w:t>tornará</w:t>
            </w:r>
            <w:proofErr w:type="gramEnd"/>
            <w:r>
              <w:rPr>
                <w:sz w:val="7"/>
              </w:rPr>
              <w:t xml:space="preserve"> sem efeito o termo aditivo ao contrato de concessão; e</w:t>
            </w:r>
          </w:p>
        </w:tc>
        <w:tc>
          <w:tcPr>
            <w:tcW w:w="0" w:type="auto"/>
            <w:gridSpan w:val="2"/>
            <w:vMerge/>
            <w:tcBorders>
              <w:top w:val="nil"/>
              <w:left w:val="single" w:sz="3" w:space="0" w:color="000000"/>
              <w:bottom w:val="nil"/>
              <w:right w:val="nil"/>
            </w:tcBorders>
          </w:tcPr>
          <w:p w14:paraId="6A63E062" w14:textId="77777777" w:rsidR="00541219" w:rsidRDefault="00541219">
            <w:pPr>
              <w:spacing w:after="160"/>
              <w:ind w:left="0" w:firstLine="0"/>
            </w:pPr>
          </w:p>
        </w:tc>
      </w:tr>
      <w:tr w:rsidR="00541219" w14:paraId="589A16F4" w14:textId="77777777">
        <w:trPr>
          <w:trHeight w:val="458"/>
        </w:trPr>
        <w:tc>
          <w:tcPr>
            <w:tcW w:w="3727" w:type="dxa"/>
            <w:tcBorders>
              <w:top w:val="single" w:sz="3" w:space="0" w:color="000000"/>
              <w:left w:val="single" w:sz="3" w:space="0" w:color="000000"/>
              <w:bottom w:val="single" w:sz="3" w:space="0" w:color="000000"/>
              <w:right w:val="single" w:sz="3" w:space="0" w:color="000000"/>
            </w:tcBorders>
          </w:tcPr>
          <w:p w14:paraId="73E8500D" w14:textId="77777777" w:rsidR="00541219" w:rsidRDefault="00000000">
            <w:pPr>
              <w:spacing w:after="0"/>
              <w:ind w:left="497" w:right="4" w:firstLine="0"/>
            </w:pPr>
            <w:r>
              <w:rPr>
                <w:sz w:val="7"/>
              </w:rPr>
              <w:lastRenderedPageBreak/>
              <w:t xml:space="preserve">     II - </w:t>
            </w:r>
            <w:proofErr w:type="gramStart"/>
            <w:r>
              <w:rPr>
                <w:sz w:val="7"/>
              </w:rPr>
              <w:t>implicará</w:t>
            </w:r>
            <w:proofErr w:type="gramEnd"/>
            <w:r>
              <w:rPr>
                <w:sz w:val="7"/>
              </w:rPr>
              <w:t xml:space="preserve"> a concordância, por parte da DISTRIBUIDORA, com a prorrogação da concessão nas condições vigentes quando da apresentação do requerimento de que trata o art. 7o do Decreto no 12.068, de 20 de junho de 2024, por até vinte e quatro meses, contados do respectivo termo contratual, a critério do Poder concedente, para a realização da licitação de que trata o art. 13 do mesmo Decreto.</w:t>
            </w:r>
          </w:p>
        </w:tc>
        <w:tc>
          <w:tcPr>
            <w:tcW w:w="0" w:type="auto"/>
            <w:gridSpan w:val="2"/>
            <w:vMerge/>
            <w:tcBorders>
              <w:top w:val="nil"/>
              <w:left w:val="single" w:sz="3" w:space="0" w:color="000000"/>
              <w:bottom w:val="nil"/>
              <w:right w:val="nil"/>
            </w:tcBorders>
          </w:tcPr>
          <w:p w14:paraId="3253EC39" w14:textId="77777777" w:rsidR="00541219" w:rsidRDefault="00541219">
            <w:pPr>
              <w:spacing w:after="160"/>
              <w:ind w:left="0" w:firstLine="0"/>
            </w:pPr>
          </w:p>
        </w:tc>
      </w:tr>
      <w:tr w:rsidR="00541219" w14:paraId="37D92462" w14:textId="77777777">
        <w:trPr>
          <w:trHeight w:val="148"/>
        </w:trPr>
        <w:tc>
          <w:tcPr>
            <w:tcW w:w="3727" w:type="dxa"/>
            <w:tcBorders>
              <w:top w:val="single" w:sz="3" w:space="0" w:color="000000"/>
              <w:left w:val="single" w:sz="3" w:space="0" w:color="000000"/>
              <w:bottom w:val="double" w:sz="3" w:space="0" w:color="000000"/>
              <w:right w:val="single" w:sz="3" w:space="0" w:color="000000"/>
            </w:tcBorders>
          </w:tcPr>
          <w:p w14:paraId="2A6F7D16" w14:textId="77777777" w:rsidR="00541219" w:rsidRDefault="00000000">
            <w:pPr>
              <w:spacing w:after="0"/>
              <w:ind w:left="0" w:firstLine="0"/>
            </w:pPr>
            <w:r>
              <w:rPr>
                <w:sz w:val="7"/>
              </w:rPr>
              <w:t xml:space="preserve">Brasília, de </w:t>
            </w:r>
            <w:proofErr w:type="spellStart"/>
            <w:r>
              <w:rPr>
                <w:sz w:val="7"/>
              </w:rPr>
              <w:t>de</w:t>
            </w:r>
            <w:proofErr w:type="spellEnd"/>
            <w:r>
              <w:rPr>
                <w:sz w:val="7"/>
              </w:rPr>
              <w:t xml:space="preserve"> 2025.</w:t>
            </w:r>
          </w:p>
        </w:tc>
        <w:tc>
          <w:tcPr>
            <w:tcW w:w="0" w:type="auto"/>
            <w:gridSpan w:val="2"/>
            <w:vMerge/>
            <w:tcBorders>
              <w:top w:val="nil"/>
              <w:left w:val="single" w:sz="3" w:space="0" w:color="000000"/>
              <w:bottom w:val="nil"/>
              <w:right w:val="nil"/>
            </w:tcBorders>
          </w:tcPr>
          <w:p w14:paraId="121E84CB" w14:textId="77777777" w:rsidR="00541219" w:rsidRDefault="00541219">
            <w:pPr>
              <w:spacing w:after="160"/>
              <w:ind w:left="0" w:firstLine="0"/>
            </w:pPr>
          </w:p>
        </w:tc>
      </w:tr>
      <w:tr w:rsidR="00541219" w14:paraId="58C996BB" w14:textId="77777777">
        <w:trPr>
          <w:trHeight w:val="239"/>
        </w:trPr>
        <w:tc>
          <w:tcPr>
            <w:tcW w:w="3727" w:type="dxa"/>
            <w:tcBorders>
              <w:top w:val="double" w:sz="3" w:space="0" w:color="000000"/>
              <w:left w:val="single" w:sz="3" w:space="0" w:color="000000"/>
              <w:bottom w:val="single" w:sz="3" w:space="0" w:color="000000"/>
              <w:right w:val="single" w:sz="3" w:space="0" w:color="000000"/>
            </w:tcBorders>
          </w:tcPr>
          <w:p w14:paraId="205585C4" w14:textId="77777777" w:rsidR="00541219" w:rsidRDefault="00000000">
            <w:pPr>
              <w:spacing w:after="0"/>
              <w:ind w:left="2" w:firstLine="0"/>
            </w:pPr>
            <w:r>
              <w:t>ANEXO I – ÁREA DE CONCESSÃO</w:t>
            </w:r>
          </w:p>
          <w:p w14:paraId="0BF97298" w14:textId="77777777" w:rsidR="00541219" w:rsidRDefault="00000000">
            <w:pPr>
              <w:spacing w:after="0"/>
              <w:ind w:left="0" w:firstLine="0"/>
              <w:jc w:val="both"/>
            </w:pPr>
            <w:r>
              <w:rPr>
                <w:sz w:val="7"/>
              </w:rPr>
              <w:t>A área de concessão de distribuição de energia elétrica de que é titular a XXXXXX – Distribuidora de XXXXXXX., compreende os seguintes municípios do estado do XXXXX:</w:t>
            </w:r>
          </w:p>
        </w:tc>
        <w:tc>
          <w:tcPr>
            <w:tcW w:w="0" w:type="auto"/>
            <w:gridSpan w:val="2"/>
            <w:vMerge/>
            <w:tcBorders>
              <w:top w:val="nil"/>
              <w:left w:val="single" w:sz="3" w:space="0" w:color="000000"/>
              <w:bottom w:val="nil"/>
              <w:right w:val="nil"/>
            </w:tcBorders>
          </w:tcPr>
          <w:p w14:paraId="7BADE225" w14:textId="77777777" w:rsidR="00541219" w:rsidRDefault="00541219">
            <w:pPr>
              <w:spacing w:after="160"/>
              <w:ind w:left="0" w:firstLine="0"/>
            </w:pPr>
          </w:p>
        </w:tc>
      </w:tr>
    </w:tbl>
    <w:p w14:paraId="48A87659" w14:textId="77777777" w:rsidR="00972E3F" w:rsidRDefault="00972E3F"/>
    <w:sectPr w:rsidR="00972E3F">
      <w:pgSz w:w="11906" w:h="16838"/>
      <w:pgMar w:top="1145" w:right="1440" w:bottom="1141"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A0659"/>
    <w:multiLevelType w:val="hybridMultilevel"/>
    <w:tmpl w:val="5368366E"/>
    <w:lvl w:ilvl="0" w:tplc="75603F8C">
      <w:start w:val="1"/>
      <w:numFmt w:val="lowerRoman"/>
      <w:lvlText w:val="(%1)"/>
      <w:lvlJc w:val="left"/>
      <w:pPr>
        <w:ind w:left="629"/>
      </w:pPr>
      <w:rPr>
        <w:rFonts w:ascii="Times New Roman" w:eastAsia="Times New Roman" w:hAnsi="Times New Roman" w:cs="Times New Roman"/>
        <w:b w:val="0"/>
        <w:i w:val="0"/>
        <w:strike w:val="0"/>
        <w:dstrike w:val="0"/>
        <w:color w:val="000000"/>
        <w:sz w:val="8"/>
        <w:szCs w:val="8"/>
        <w:u w:val="none" w:color="000000"/>
        <w:bdr w:val="none" w:sz="0" w:space="0" w:color="auto"/>
        <w:shd w:val="clear" w:color="auto" w:fill="auto"/>
        <w:vertAlign w:val="baseline"/>
      </w:rPr>
    </w:lvl>
    <w:lvl w:ilvl="1" w:tplc="6D42E648">
      <w:start w:val="1"/>
      <w:numFmt w:val="lowerLetter"/>
      <w:lvlText w:val="%2"/>
      <w:lvlJc w:val="left"/>
      <w:pPr>
        <w:ind w:left="1703"/>
      </w:pPr>
      <w:rPr>
        <w:rFonts w:ascii="Times New Roman" w:eastAsia="Times New Roman" w:hAnsi="Times New Roman" w:cs="Times New Roman"/>
        <w:b w:val="0"/>
        <w:i w:val="0"/>
        <w:strike w:val="0"/>
        <w:dstrike w:val="0"/>
        <w:color w:val="000000"/>
        <w:sz w:val="8"/>
        <w:szCs w:val="8"/>
        <w:u w:val="none" w:color="000000"/>
        <w:bdr w:val="none" w:sz="0" w:space="0" w:color="auto"/>
        <w:shd w:val="clear" w:color="auto" w:fill="auto"/>
        <w:vertAlign w:val="baseline"/>
      </w:rPr>
    </w:lvl>
    <w:lvl w:ilvl="2" w:tplc="1AFED6F4">
      <w:start w:val="1"/>
      <w:numFmt w:val="lowerRoman"/>
      <w:lvlText w:val="%3"/>
      <w:lvlJc w:val="left"/>
      <w:pPr>
        <w:ind w:left="2423"/>
      </w:pPr>
      <w:rPr>
        <w:rFonts w:ascii="Times New Roman" w:eastAsia="Times New Roman" w:hAnsi="Times New Roman" w:cs="Times New Roman"/>
        <w:b w:val="0"/>
        <w:i w:val="0"/>
        <w:strike w:val="0"/>
        <w:dstrike w:val="0"/>
        <w:color w:val="000000"/>
        <w:sz w:val="8"/>
        <w:szCs w:val="8"/>
        <w:u w:val="none" w:color="000000"/>
        <w:bdr w:val="none" w:sz="0" w:space="0" w:color="auto"/>
        <w:shd w:val="clear" w:color="auto" w:fill="auto"/>
        <w:vertAlign w:val="baseline"/>
      </w:rPr>
    </w:lvl>
    <w:lvl w:ilvl="3" w:tplc="D8CA3A8E">
      <w:start w:val="1"/>
      <w:numFmt w:val="decimal"/>
      <w:lvlText w:val="%4"/>
      <w:lvlJc w:val="left"/>
      <w:pPr>
        <w:ind w:left="3143"/>
      </w:pPr>
      <w:rPr>
        <w:rFonts w:ascii="Times New Roman" w:eastAsia="Times New Roman" w:hAnsi="Times New Roman" w:cs="Times New Roman"/>
        <w:b w:val="0"/>
        <w:i w:val="0"/>
        <w:strike w:val="0"/>
        <w:dstrike w:val="0"/>
        <w:color w:val="000000"/>
        <w:sz w:val="8"/>
        <w:szCs w:val="8"/>
        <w:u w:val="none" w:color="000000"/>
        <w:bdr w:val="none" w:sz="0" w:space="0" w:color="auto"/>
        <w:shd w:val="clear" w:color="auto" w:fill="auto"/>
        <w:vertAlign w:val="baseline"/>
      </w:rPr>
    </w:lvl>
    <w:lvl w:ilvl="4" w:tplc="E67A9512">
      <w:start w:val="1"/>
      <w:numFmt w:val="lowerLetter"/>
      <w:lvlText w:val="%5"/>
      <w:lvlJc w:val="left"/>
      <w:pPr>
        <w:ind w:left="3863"/>
      </w:pPr>
      <w:rPr>
        <w:rFonts w:ascii="Times New Roman" w:eastAsia="Times New Roman" w:hAnsi="Times New Roman" w:cs="Times New Roman"/>
        <w:b w:val="0"/>
        <w:i w:val="0"/>
        <w:strike w:val="0"/>
        <w:dstrike w:val="0"/>
        <w:color w:val="000000"/>
        <w:sz w:val="8"/>
        <w:szCs w:val="8"/>
        <w:u w:val="none" w:color="000000"/>
        <w:bdr w:val="none" w:sz="0" w:space="0" w:color="auto"/>
        <w:shd w:val="clear" w:color="auto" w:fill="auto"/>
        <w:vertAlign w:val="baseline"/>
      </w:rPr>
    </w:lvl>
    <w:lvl w:ilvl="5" w:tplc="7966DAF8">
      <w:start w:val="1"/>
      <w:numFmt w:val="lowerRoman"/>
      <w:lvlText w:val="%6"/>
      <w:lvlJc w:val="left"/>
      <w:pPr>
        <w:ind w:left="4583"/>
      </w:pPr>
      <w:rPr>
        <w:rFonts w:ascii="Times New Roman" w:eastAsia="Times New Roman" w:hAnsi="Times New Roman" w:cs="Times New Roman"/>
        <w:b w:val="0"/>
        <w:i w:val="0"/>
        <w:strike w:val="0"/>
        <w:dstrike w:val="0"/>
        <w:color w:val="000000"/>
        <w:sz w:val="8"/>
        <w:szCs w:val="8"/>
        <w:u w:val="none" w:color="000000"/>
        <w:bdr w:val="none" w:sz="0" w:space="0" w:color="auto"/>
        <w:shd w:val="clear" w:color="auto" w:fill="auto"/>
        <w:vertAlign w:val="baseline"/>
      </w:rPr>
    </w:lvl>
    <w:lvl w:ilvl="6" w:tplc="00700B08">
      <w:start w:val="1"/>
      <w:numFmt w:val="decimal"/>
      <w:lvlText w:val="%7"/>
      <w:lvlJc w:val="left"/>
      <w:pPr>
        <w:ind w:left="5303"/>
      </w:pPr>
      <w:rPr>
        <w:rFonts w:ascii="Times New Roman" w:eastAsia="Times New Roman" w:hAnsi="Times New Roman" w:cs="Times New Roman"/>
        <w:b w:val="0"/>
        <w:i w:val="0"/>
        <w:strike w:val="0"/>
        <w:dstrike w:val="0"/>
        <w:color w:val="000000"/>
        <w:sz w:val="8"/>
        <w:szCs w:val="8"/>
        <w:u w:val="none" w:color="000000"/>
        <w:bdr w:val="none" w:sz="0" w:space="0" w:color="auto"/>
        <w:shd w:val="clear" w:color="auto" w:fill="auto"/>
        <w:vertAlign w:val="baseline"/>
      </w:rPr>
    </w:lvl>
    <w:lvl w:ilvl="7" w:tplc="6D36159A">
      <w:start w:val="1"/>
      <w:numFmt w:val="lowerLetter"/>
      <w:lvlText w:val="%8"/>
      <w:lvlJc w:val="left"/>
      <w:pPr>
        <w:ind w:left="6023"/>
      </w:pPr>
      <w:rPr>
        <w:rFonts w:ascii="Times New Roman" w:eastAsia="Times New Roman" w:hAnsi="Times New Roman" w:cs="Times New Roman"/>
        <w:b w:val="0"/>
        <w:i w:val="0"/>
        <w:strike w:val="0"/>
        <w:dstrike w:val="0"/>
        <w:color w:val="000000"/>
        <w:sz w:val="8"/>
        <w:szCs w:val="8"/>
        <w:u w:val="none" w:color="000000"/>
        <w:bdr w:val="none" w:sz="0" w:space="0" w:color="auto"/>
        <w:shd w:val="clear" w:color="auto" w:fill="auto"/>
        <w:vertAlign w:val="baseline"/>
      </w:rPr>
    </w:lvl>
    <w:lvl w:ilvl="8" w:tplc="0F98C12A">
      <w:start w:val="1"/>
      <w:numFmt w:val="lowerRoman"/>
      <w:lvlText w:val="%9"/>
      <w:lvlJc w:val="left"/>
      <w:pPr>
        <w:ind w:left="6743"/>
      </w:pPr>
      <w:rPr>
        <w:rFonts w:ascii="Times New Roman" w:eastAsia="Times New Roman" w:hAnsi="Times New Roman" w:cs="Times New Roman"/>
        <w:b w:val="0"/>
        <w:i w:val="0"/>
        <w:strike w:val="0"/>
        <w:dstrike w:val="0"/>
        <w:color w:val="000000"/>
        <w:sz w:val="8"/>
        <w:szCs w:val="8"/>
        <w:u w:val="none" w:color="000000"/>
        <w:bdr w:val="none" w:sz="0" w:space="0" w:color="auto"/>
        <w:shd w:val="clear" w:color="auto" w:fill="auto"/>
        <w:vertAlign w:val="baseline"/>
      </w:rPr>
    </w:lvl>
  </w:abstractNum>
  <w:abstractNum w:abstractNumId="1" w15:restartNumberingAfterBreak="0">
    <w:nsid w:val="26DD1D72"/>
    <w:multiLevelType w:val="hybridMultilevel"/>
    <w:tmpl w:val="8CB20D60"/>
    <w:lvl w:ilvl="0" w:tplc="8C6C9E04">
      <w:start w:val="1"/>
      <w:numFmt w:val="lowerLetter"/>
      <w:lvlText w:val="%1)"/>
      <w:lvlJc w:val="left"/>
      <w:pPr>
        <w:ind w:left="588"/>
      </w:pPr>
      <w:rPr>
        <w:rFonts w:ascii="Times New Roman" w:eastAsia="Times New Roman" w:hAnsi="Times New Roman" w:cs="Times New Roman"/>
        <w:b w:val="0"/>
        <w:i w:val="0"/>
        <w:strike w:val="0"/>
        <w:dstrike w:val="0"/>
        <w:color w:val="000000"/>
        <w:sz w:val="8"/>
        <w:szCs w:val="8"/>
        <w:u w:val="none" w:color="000000"/>
        <w:bdr w:val="none" w:sz="0" w:space="0" w:color="auto"/>
        <w:shd w:val="clear" w:color="auto" w:fill="auto"/>
        <w:vertAlign w:val="baseline"/>
      </w:rPr>
    </w:lvl>
    <w:lvl w:ilvl="1" w:tplc="9DA68BDC">
      <w:start w:val="1"/>
      <w:numFmt w:val="lowerLetter"/>
      <w:lvlText w:val="%2"/>
      <w:lvlJc w:val="left"/>
      <w:pPr>
        <w:ind w:left="1703"/>
      </w:pPr>
      <w:rPr>
        <w:rFonts w:ascii="Times New Roman" w:eastAsia="Times New Roman" w:hAnsi="Times New Roman" w:cs="Times New Roman"/>
        <w:b w:val="0"/>
        <w:i w:val="0"/>
        <w:strike w:val="0"/>
        <w:dstrike w:val="0"/>
        <w:color w:val="000000"/>
        <w:sz w:val="8"/>
        <w:szCs w:val="8"/>
        <w:u w:val="none" w:color="000000"/>
        <w:bdr w:val="none" w:sz="0" w:space="0" w:color="auto"/>
        <w:shd w:val="clear" w:color="auto" w:fill="auto"/>
        <w:vertAlign w:val="baseline"/>
      </w:rPr>
    </w:lvl>
    <w:lvl w:ilvl="2" w:tplc="E77055B6">
      <w:start w:val="1"/>
      <w:numFmt w:val="lowerRoman"/>
      <w:lvlText w:val="%3"/>
      <w:lvlJc w:val="left"/>
      <w:pPr>
        <w:ind w:left="2423"/>
      </w:pPr>
      <w:rPr>
        <w:rFonts w:ascii="Times New Roman" w:eastAsia="Times New Roman" w:hAnsi="Times New Roman" w:cs="Times New Roman"/>
        <w:b w:val="0"/>
        <w:i w:val="0"/>
        <w:strike w:val="0"/>
        <w:dstrike w:val="0"/>
        <w:color w:val="000000"/>
        <w:sz w:val="8"/>
        <w:szCs w:val="8"/>
        <w:u w:val="none" w:color="000000"/>
        <w:bdr w:val="none" w:sz="0" w:space="0" w:color="auto"/>
        <w:shd w:val="clear" w:color="auto" w:fill="auto"/>
        <w:vertAlign w:val="baseline"/>
      </w:rPr>
    </w:lvl>
    <w:lvl w:ilvl="3" w:tplc="7D4A0BBA">
      <w:start w:val="1"/>
      <w:numFmt w:val="decimal"/>
      <w:lvlText w:val="%4"/>
      <w:lvlJc w:val="left"/>
      <w:pPr>
        <w:ind w:left="3143"/>
      </w:pPr>
      <w:rPr>
        <w:rFonts w:ascii="Times New Roman" w:eastAsia="Times New Roman" w:hAnsi="Times New Roman" w:cs="Times New Roman"/>
        <w:b w:val="0"/>
        <w:i w:val="0"/>
        <w:strike w:val="0"/>
        <w:dstrike w:val="0"/>
        <w:color w:val="000000"/>
        <w:sz w:val="8"/>
        <w:szCs w:val="8"/>
        <w:u w:val="none" w:color="000000"/>
        <w:bdr w:val="none" w:sz="0" w:space="0" w:color="auto"/>
        <w:shd w:val="clear" w:color="auto" w:fill="auto"/>
        <w:vertAlign w:val="baseline"/>
      </w:rPr>
    </w:lvl>
    <w:lvl w:ilvl="4" w:tplc="38FA34AE">
      <w:start w:val="1"/>
      <w:numFmt w:val="lowerLetter"/>
      <w:lvlText w:val="%5"/>
      <w:lvlJc w:val="left"/>
      <w:pPr>
        <w:ind w:left="3863"/>
      </w:pPr>
      <w:rPr>
        <w:rFonts w:ascii="Times New Roman" w:eastAsia="Times New Roman" w:hAnsi="Times New Roman" w:cs="Times New Roman"/>
        <w:b w:val="0"/>
        <w:i w:val="0"/>
        <w:strike w:val="0"/>
        <w:dstrike w:val="0"/>
        <w:color w:val="000000"/>
        <w:sz w:val="8"/>
        <w:szCs w:val="8"/>
        <w:u w:val="none" w:color="000000"/>
        <w:bdr w:val="none" w:sz="0" w:space="0" w:color="auto"/>
        <w:shd w:val="clear" w:color="auto" w:fill="auto"/>
        <w:vertAlign w:val="baseline"/>
      </w:rPr>
    </w:lvl>
    <w:lvl w:ilvl="5" w:tplc="5A70FAB0">
      <w:start w:val="1"/>
      <w:numFmt w:val="lowerRoman"/>
      <w:lvlText w:val="%6"/>
      <w:lvlJc w:val="left"/>
      <w:pPr>
        <w:ind w:left="4583"/>
      </w:pPr>
      <w:rPr>
        <w:rFonts w:ascii="Times New Roman" w:eastAsia="Times New Roman" w:hAnsi="Times New Roman" w:cs="Times New Roman"/>
        <w:b w:val="0"/>
        <w:i w:val="0"/>
        <w:strike w:val="0"/>
        <w:dstrike w:val="0"/>
        <w:color w:val="000000"/>
        <w:sz w:val="8"/>
        <w:szCs w:val="8"/>
        <w:u w:val="none" w:color="000000"/>
        <w:bdr w:val="none" w:sz="0" w:space="0" w:color="auto"/>
        <w:shd w:val="clear" w:color="auto" w:fill="auto"/>
        <w:vertAlign w:val="baseline"/>
      </w:rPr>
    </w:lvl>
    <w:lvl w:ilvl="6" w:tplc="BC8861E2">
      <w:start w:val="1"/>
      <w:numFmt w:val="decimal"/>
      <w:lvlText w:val="%7"/>
      <w:lvlJc w:val="left"/>
      <w:pPr>
        <w:ind w:left="5303"/>
      </w:pPr>
      <w:rPr>
        <w:rFonts w:ascii="Times New Roman" w:eastAsia="Times New Roman" w:hAnsi="Times New Roman" w:cs="Times New Roman"/>
        <w:b w:val="0"/>
        <w:i w:val="0"/>
        <w:strike w:val="0"/>
        <w:dstrike w:val="0"/>
        <w:color w:val="000000"/>
        <w:sz w:val="8"/>
        <w:szCs w:val="8"/>
        <w:u w:val="none" w:color="000000"/>
        <w:bdr w:val="none" w:sz="0" w:space="0" w:color="auto"/>
        <w:shd w:val="clear" w:color="auto" w:fill="auto"/>
        <w:vertAlign w:val="baseline"/>
      </w:rPr>
    </w:lvl>
    <w:lvl w:ilvl="7" w:tplc="BB229F9E">
      <w:start w:val="1"/>
      <w:numFmt w:val="lowerLetter"/>
      <w:lvlText w:val="%8"/>
      <w:lvlJc w:val="left"/>
      <w:pPr>
        <w:ind w:left="6023"/>
      </w:pPr>
      <w:rPr>
        <w:rFonts w:ascii="Times New Roman" w:eastAsia="Times New Roman" w:hAnsi="Times New Roman" w:cs="Times New Roman"/>
        <w:b w:val="0"/>
        <w:i w:val="0"/>
        <w:strike w:val="0"/>
        <w:dstrike w:val="0"/>
        <w:color w:val="000000"/>
        <w:sz w:val="8"/>
        <w:szCs w:val="8"/>
        <w:u w:val="none" w:color="000000"/>
        <w:bdr w:val="none" w:sz="0" w:space="0" w:color="auto"/>
        <w:shd w:val="clear" w:color="auto" w:fill="auto"/>
        <w:vertAlign w:val="baseline"/>
      </w:rPr>
    </w:lvl>
    <w:lvl w:ilvl="8" w:tplc="F3E8A088">
      <w:start w:val="1"/>
      <w:numFmt w:val="lowerRoman"/>
      <w:lvlText w:val="%9"/>
      <w:lvlJc w:val="left"/>
      <w:pPr>
        <w:ind w:left="6743"/>
      </w:pPr>
      <w:rPr>
        <w:rFonts w:ascii="Times New Roman" w:eastAsia="Times New Roman" w:hAnsi="Times New Roman" w:cs="Times New Roman"/>
        <w:b w:val="0"/>
        <w:i w:val="0"/>
        <w:strike w:val="0"/>
        <w:dstrike w:val="0"/>
        <w:color w:val="000000"/>
        <w:sz w:val="8"/>
        <w:szCs w:val="8"/>
        <w:u w:val="none" w:color="000000"/>
        <w:bdr w:val="none" w:sz="0" w:space="0" w:color="auto"/>
        <w:shd w:val="clear" w:color="auto" w:fill="auto"/>
        <w:vertAlign w:val="baseline"/>
      </w:rPr>
    </w:lvl>
  </w:abstractNum>
  <w:abstractNum w:abstractNumId="2" w15:restartNumberingAfterBreak="0">
    <w:nsid w:val="58917F6F"/>
    <w:multiLevelType w:val="hybridMultilevel"/>
    <w:tmpl w:val="1798749C"/>
    <w:lvl w:ilvl="0" w:tplc="2918F158">
      <w:start w:val="1"/>
      <w:numFmt w:val="lowerRoman"/>
      <w:lvlText w:val="(%1)"/>
      <w:lvlJc w:val="left"/>
      <w:pPr>
        <w:ind w:left="627"/>
      </w:pPr>
      <w:rPr>
        <w:rFonts w:ascii="Times New Roman" w:eastAsia="Times New Roman" w:hAnsi="Times New Roman" w:cs="Times New Roman"/>
        <w:b w:val="0"/>
        <w:i w:val="0"/>
        <w:strike w:val="0"/>
        <w:dstrike w:val="0"/>
        <w:color w:val="000000"/>
        <w:sz w:val="8"/>
        <w:szCs w:val="8"/>
        <w:u w:val="none" w:color="000000"/>
        <w:bdr w:val="none" w:sz="0" w:space="0" w:color="auto"/>
        <w:shd w:val="clear" w:color="auto" w:fill="auto"/>
        <w:vertAlign w:val="baseline"/>
      </w:rPr>
    </w:lvl>
    <w:lvl w:ilvl="1" w:tplc="6BD08848">
      <w:start w:val="1"/>
      <w:numFmt w:val="lowerLetter"/>
      <w:lvlText w:val="%2"/>
      <w:lvlJc w:val="left"/>
      <w:pPr>
        <w:ind w:left="1703"/>
      </w:pPr>
      <w:rPr>
        <w:rFonts w:ascii="Times New Roman" w:eastAsia="Times New Roman" w:hAnsi="Times New Roman" w:cs="Times New Roman"/>
        <w:b w:val="0"/>
        <w:i w:val="0"/>
        <w:strike w:val="0"/>
        <w:dstrike w:val="0"/>
        <w:color w:val="000000"/>
        <w:sz w:val="8"/>
        <w:szCs w:val="8"/>
        <w:u w:val="none" w:color="000000"/>
        <w:bdr w:val="none" w:sz="0" w:space="0" w:color="auto"/>
        <w:shd w:val="clear" w:color="auto" w:fill="auto"/>
        <w:vertAlign w:val="baseline"/>
      </w:rPr>
    </w:lvl>
    <w:lvl w:ilvl="2" w:tplc="97C03E10">
      <w:start w:val="1"/>
      <w:numFmt w:val="lowerRoman"/>
      <w:lvlText w:val="%3"/>
      <w:lvlJc w:val="left"/>
      <w:pPr>
        <w:ind w:left="2423"/>
      </w:pPr>
      <w:rPr>
        <w:rFonts w:ascii="Times New Roman" w:eastAsia="Times New Roman" w:hAnsi="Times New Roman" w:cs="Times New Roman"/>
        <w:b w:val="0"/>
        <w:i w:val="0"/>
        <w:strike w:val="0"/>
        <w:dstrike w:val="0"/>
        <w:color w:val="000000"/>
        <w:sz w:val="8"/>
        <w:szCs w:val="8"/>
        <w:u w:val="none" w:color="000000"/>
        <w:bdr w:val="none" w:sz="0" w:space="0" w:color="auto"/>
        <w:shd w:val="clear" w:color="auto" w:fill="auto"/>
        <w:vertAlign w:val="baseline"/>
      </w:rPr>
    </w:lvl>
    <w:lvl w:ilvl="3" w:tplc="4F365E4A">
      <w:start w:val="1"/>
      <w:numFmt w:val="decimal"/>
      <w:lvlText w:val="%4"/>
      <w:lvlJc w:val="left"/>
      <w:pPr>
        <w:ind w:left="3143"/>
      </w:pPr>
      <w:rPr>
        <w:rFonts w:ascii="Times New Roman" w:eastAsia="Times New Roman" w:hAnsi="Times New Roman" w:cs="Times New Roman"/>
        <w:b w:val="0"/>
        <w:i w:val="0"/>
        <w:strike w:val="0"/>
        <w:dstrike w:val="0"/>
        <w:color w:val="000000"/>
        <w:sz w:val="8"/>
        <w:szCs w:val="8"/>
        <w:u w:val="none" w:color="000000"/>
        <w:bdr w:val="none" w:sz="0" w:space="0" w:color="auto"/>
        <w:shd w:val="clear" w:color="auto" w:fill="auto"/>
        <w:vertAlign w:val="baseline"/>
      </w:rPr>
    </w:lvl>
    <w:lvl w:ilvl="4" w:tplc="9E1AC65A">
      <w:start w:val="1"/>
      <w:numFmt w:val="lowerLetter"/>
      <w:lvlText w:val="%5"/>
      <w:lvlJc w:val="left"/>
      <w:pPr>
        <w:ind w:left="3863"/>
      </w:pPr>
      <w:rPr>
        <w:rFonts w:ascii="Times New Roman" w:eastAsia="Times New Roman" w:hAnsi="Times New Roman" w:cs="Times New Roman"/>
        <w:b w:val="0"/>
        <w:i w:val="0"/>
        <w:strike w:val="0"/>
        <w:dstrike w:val="0"/>
        <w:color w:val="000000"/>
        <w:sz w:val="8"/>
        <w:szCs w:val="8"/>
        <w:u w:val="none" w:color="000000"/>
        <w:bdr w:val="none" w:sz="0" w:space="0" w:color="auto"/>
        <w:shd w:val="clear" w:color="auto" w:fill="auto"/>
        <w:vertAlign w:val="baseline"/>
      </w:rPr>
    </w:lvl>
    <w:lvl w:ilvl="5" w:tplc="0DE0AC12">
      <w:start w:val="1"/>
      <w:numFmt w:val="lowerRoman"/>
      <w:lvlText w:val="%6"/>
      <w:lvlJc w:val="left"/>
      <w:pPr>
        <w:ind w:left="4583"/>
      </w:pPr>
      <w:rPr>
        <w:rFonts w:ascii="Times New Roman" w:eastAsia="Times New Roman" w:hAnsi="Times New Roman" w:cs="Times New Roman"/>
        <w:b w:val="0"/>
        <w:i w:val="0"/>
        <w:strike w:val="0"/>
        <w:dstrike w:val="0"/>
        <w:color w:val="000000"/>
        <w:sz w:val="8"/>
        <w:szCs w:val="8"/>
        <w:u w:val="none" w:color="000000"/>
        <w:bdr w:val="none" w:sz="0" w:space="0" w:color="auto"/>
        <w:shd w:val="clear" w:color="auto" w:fill="auto"/>
        <w:vertAlign w:val="baseline"/>
      </w:rPr>
    </w:lvl>
    <w:lvl w:ilvl="6" w:tplc="BDAAD040">
      <w:start w:val="1"/>
      <w:numFmt w:val="decimal"/>
      <w:lvlText w:val="%7"/>
      <w:lvlJc w:val="left"/>
      <w:pPr>
        <w:ind w:left="5303"/>
      </w:pPr>
      <w:rPr>
        <w:rFonts w:ascii="Times New Roman" w:eastAsia="Times New Roman" w:hAnsi="Times New Roman" w:cs="Times New Roman"/>
        <w:b w:val="0"/>
        <w:i w:val="0"/>
        <w:strike w:val="0"/>
        <w:dstrike w:val="0"/>
        <w:color w:val="000000"/>
        <w:sz w:val="8"/>
        <w:szCs w:val="8"/>
        <w:u w:val="none" w:color="000000"/>
        <w:bdr w:val="none" w:sz="0" w:space="0" w:color="auto"/>
        <w:shd w:val="clear" w:color="auto" w:fill="auto"/>
        <w:vertAlign w:val="baseline"/>
      </w:rPr>
    </w:lvl>
    <w:lvl w:ilvl="7" w:tplc="9D706882">
      <w:start w:val="1"/>
      <w:numFmt w:val="lowerLetter"/>
      <w:lvlText w:val="%8"/>
      <w:lvlJc w:val="left"/>
      <w:pPr>
        <w:ind w:left="6023"/>
      </w:pPr>
      <w:rPr>
        <w:rFonts w:ascii="Times New Roman" w:eastAsia="Times New Roman" w:hAnsi="Times New Roman" w:cs="Times New Roman"/>
        <w:b w:val="0"/>
        <w:i w:val="0"/>
        <w:strike w:val="0"/>
        <w:dstrike w:val="0"/>
        <w:color w:val="000000"/>
        <w:sz w:val="8"/>
        <w:szCs w:val="8"/>
        <w:u w:val="none" w:color="000000"/>
        <w:bdr w:val="none" w:sz="0" w:space="0" w:color="auto"/>
        <w:shd w:val="clear" w:color="auto" w:fill="auto"/>
        <w:vertAlign w:val="baseline"/>
      </w:rPr>
    </w:lvl>
    <w:lvl w:ilvl="8" w:tplc="9D929154">
      <w:start w:val="1"/>
      <w:numFmt w:val="lowerRoman"/>
      <w:lvlText w:val="%9"/>
      <w:lvlJc w:val="left"/>
      <w:pPr>
        <w:ind w:left="6743"/>
      </w:pPr>
      <w:rPr>
        <w:rFonts w:ascii="Times New Roman" w:eastAsia="Times New Roman" w:hAnsi="Times New Roman" w:cs="Times New Roman"/>
        <w:b w:val="0"/>
        <w:i w:val="0"/>
        <w:strike w:val="0"/>
        <w:dstrike w:val="0"/>
        <w:color w:val="000000"/>
        <w:sz w:val="8"/>
        <w:szCs w:val="8"/>
        <w:u w:val="none" w:color="000000"/>
        <w:bdr w:val="none" w:sz="0" w:space="0" w:color="auto"/>
        <w:shd w:val="clear" w:color="auto" w:fill="auto"/>
        <w:vertAlign w:val="baseline"/>
      </w:rPr>
    </w:lvl>
  </w:abstractNum>
  <w:num w:numId="1" w16cid:durableId="1417248465">
    <w:abstractNumId w:val="2"/>
  </w:num>
  <w:num w:numId="2" w16cid:durableId="1066411741">
    <w:abstractNumId w:val="0"/>
  </w:num>
  <w:num w:numId="3" w16cid:durableId="263711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7"/>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219"/>
    <w:rsid w:val="002308BA"/>
    <w:rsid w:val="00235051"/>
    <w:rsid w:val="002D282F"/>
    <w:rsid w:val="00325464"/>
    <w:rsid w:val="00344F46"/>
    <w:rsid w:val="004D0050"/>
    <w:rsid w:val="004E1AA6"/>
    <w:rsid w:val="004E4E94"/>
    <w:rsid w:val="004F4488"/>
    <w:rsid w:val="00537141"/>
    <w:rsid w:val="00541219"/>
    <w:rsid w:val="006E308E"/>
    <w:rsid w:val="006F6AA4"/>
    <w:rsid w:val="00733A86"/>
    <w:rsid w:val="00843CCE"/>
    <w:rsid w:val="008E3408"/>
    <w:rsid w:val="00916151"/>
    <w:rsid w:val="00971DFA"/>
    <w:rsid w:val="00972E3F"/>
    <w:rsid w:val="00AA12E6"/>
    <w:rsid w:val="00B409CF"/>
    <w:rsid w:val="00C164DB"/>
    <w:rsid w:val="00C52972"/>
    <w:rsid w:val="00C731B1"/>
    <w:rsid w:val="00C824F7"/>
    <w:rsid w:val="00D31531"/>
    <w:rsid w:val="00E5084E"/>
    <w:rsid w:val="00E80EBE"/>
    <w:rsid w:val="00F06EF6"/>
    <w:rsid w:val="00F20749"/>
    <w:rsid w:val="00FE449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9B28A"/>
  <w15:docId w15:val="{C38CF2F3-8AE0-4A11-831C-30C5D03BE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9" w:lineRule="auto"/>
      <w:ind w:left="-657" w:hanging="10"/>
    </w:pPr>
    <w:rPr>
      <w:rFonts w:ascii="Times New Roman" w:eastAsia="Times New Roman" w:hAnsi="Times New Roman" w:cs="Times New Roman"/>
      <w:color w:val="000000"/>
      <w:sz w:val="9"/>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5" Type="http://schemas.openxmlformats.org/officeDocument/2006/relationships/image" Target="media/image1.jpg"/><Relationship Id="rId15" Type="http://schemas.openxmlformats.org/officeDocument/2006/relationships/image" Target="media/image11.jp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45</TotalTime>
  <Pages>27</Pages>
  <Words>53083</Words>
  <Characters>286653</Characters>
  <Application>Microsoft Office Word</Application>
  <DocSecurity>0</DocSecurity>
  <Lines>2388</Lines>
  <Paragraphs>678</Paragraphs>
  <ScaleCrop>false</ScaleCrop>
  <HeadingPairs>
    <vt:vector size="2" baseType="variant">
      <vt:variant>
        <vt:lpstr>Título</vt:lpstr>
      </vt:variant>
      <vt:variant>
        <vt:i4>1</vt:i4>
      </vt:variant>
    </vt:vector>
  </HeadingPairs>
  <TitlesOfParts>
    <vt:vector size="1" baseType="lpstr">
      <vt:lpstr>Contribuição CONCEN EMS CP 27 Prorrogac'ao Concessao D.xlsx</vt:lpstr>
    </vt:vector>
  </TitlesOfParts>
  <Company/>
  <LinksUpToDate>false</LinksUpToDate>
  <CharactersWithSpaces>339058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Contribuição CONCEN EMS CP 27 Prorrogac'ao Concessao D.xlsx</dc:title>
  <dc:subject/>
  <dc:creator>Ricardo Vidinich</dc:creator>
  <cp:keywords/>
  <cp:lastModifiedBy>Rosimeire Costa</cp:lastModifiedBy>
  <cp:revision>28</cp:revision>
  <dcterms:created xsi:type="dcterms:W3CDTF">2024-12-02T22:52:00Z</dcterms:created>
  <dcterms:modified xsi:type="dcterms:W3CDTF">2024-12-02T23:36:00Z</dcterms:modified>
</cp:coreProperties>
</file>